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0055D3" w14:textId="77777777" w:rsidR="00107076" w:rsidRPr="00096493" w:rsidRDefault="00107076" w:rsidP="00107076">
      <w:pPr>
        <w:pStyle w:val="Title1COST"/>
        <w:spacing w:before="120"/>
        <w:jc w:val="center"/>
        <w:rPr>
          <w:color w:val="6E82BE"/>
          <w:sz w:val="36"/>
          <w:lang w:val="en-GB"/>
        </w:rPr>
      </w:pPr>
      <w:r w:rsidRPr="00096493">
        <w:rPr>
          <w:color w:val="6E82BE"/>
          <w:sz w:val="36"/>
          <w:lang w:val="en-GB"/>
        </w:rPr>
        <w:t>Report on the outcomes of a Virtual Mobility</w:t>
      </w:r>
      <w:r w:rsidRPr="00096493">
        <w:rPr>
          <w:rStyle w:val="DipnotBavurusu"/>
          <w:color w:val="56585B"/>
          <w:sz w:val="22"/>
          <w:szCs w:val="22"/>
        </w:rPr>
        <w:footnoteReference w:id="1"/>
      </w:r>
    </w:p>
    <w:p w14:paraId="79E96FAB" w14:textId="77777777" w:rsidR="00107076" w:rsidRPr="00096493" w:rsidRDefault="00107076" w:rsidP="00107076">
      <w:pPr>
        <w:spacing w:before="120"/>
        <w:rPr>
          <w:rFonts w:cs="Arial"/>
          <w:u w:val="single"/>
          <w:lang w:eastAsia="en-GB"/>
        </w:rPr>
      </w:pPr>
    </w:p>
    <w:p w14:paraId="0B6DE23E" w14:textId="77777777" w:rsidR="00107076" w:rsidRPr="00096493" w:rsidRDefault="00107076" w:rsidP="00107076">
      <w:pPr>
        <w:pStyle w:val="Title2"/>
        <w:spacing w:before="120"/>
        <w:jc w:val="both"/>
        <w:rPr>
          <w:color w:val="56585B"/>
          <w:sz w:val="22"/>
          <w:szCs w:val="22"/>
        </w:rPr>
      </w:pPr>
    </w:p>
    <w:p w14:paraId="118D2663" w14:textId="4AF9FD6D" w:rsidR="00107076" w:rsidRPr="00096493" w:rsidRDefault="00107076" w:rsidP="00107076">
      <w:pPr>
        <w:pStyle w:val="Title2"/>
        <w:spacing w:before="120"/>
        <w:jc w:val="both"/>
        <w:rPr>
          <w:color w:val="56585B"/>
          <w:sz w:val="22"/>
        </w:rPr>
      </w:pPr>
      <w:r w:rsidRPr="00096493">
        <w:rPr>
          <w:color w:val="56585B"/>
          <w:sz w:val="22"/>
        </w:rPr>
        <w:t xml:space="preserve">Action number: </w:t>
      </w:r>
      <w:r w:rsidR="00907599" w:rsidRPr="00096493">
        <w:rPr>
          <w:color w:val="56585B"/>
          <w:sz w:val="22"/>
        </w:rPr>
        <w:t>CA23113</w:t>
      </w:r>
    </w:p>
    <w:p w14:paraId="6F0670D7" w14:textId="4B2CC388" w:rsidR="00107076" w:rsidRPr="00096493" w:rsidRDefault="00107076" w:rsidP="00107076">
      <w:pPr>
        <w:pStyle w:val="Title2"/>
        <w:spacing w:before="120"/>
        <w:jc w:val="both"/>
        <w:rPr>
          <w:color w:val="56585B"/>
          <w:sz w:val="22"/>
        </w:rPr>
      </w:pPr>
      <w:r w:rsidRPr="00096493">
        <w:rPr>
          <w:color w:val="56585B"/>
          <w:sz w:val="22"/>
        </w:rPr>
        <w:t xml:space="preserve">Grantee name: </w:t>
      </w:r>
      <w:r w:rsidR="00907599" w:rsidRPr="00096493">
        <w:rPr>
          <w:color w:val="56585B"/>
          <w:sz w:val="22"/>
        </w:rPr>
        <w:t>İsmail Toygar</w:t>
      </w:r>
    </w:p>
    <w:p w14:paraId="6523CFE1" w14:textId="77777777" w:rsidR="00107076" w:rsidRPr="00096493" w:rsidRDefault="00107076" w:rsidP="00107076">
      <w:pPr>
        <w:pStyle w:val="Title2"/>
        <w:spacing w:before="120"/>
        <w:jc w:val="both"/>
        <w:rPr>
          <w:color w:val="56585B"/>
          <w:sz w:val="22"/>
        </w:rPr>
      </w:pPr>
    </w:p>
    <w:tbl>
      <w:tblPr>
        <w:tblStyle w:val="TabloKlavuzu"/>
        <w:tblW w:w="9356" w:type="dxa"/>
        <w:tblInd w:w="-5" w:type="dxa"/>
        <w:tblLook w:val="04A0" w:firstRow="1" w:lastRow="0" w:firstColumn="1" w:lastColumn="0" w:noHBand="0" w:noVBand="1"/>
      </w:tblPr>
      <w:tblGrid>
        <w:gridCol w:w="9356"/>
      </w:tblGrid>
      <w:tr w:rsidR="00107076" w:rsidRPr="00096493" w14:paraId="274DAE03" w14:textId="77777777" w:rsidTr="008F1EE3">
        <w:tc>
          <w:tcPr>
            <w:tcW w:w="9356" w:type="dxa"/>
            <w:tcBorders>
              <w:bottom w:val="nil"/>
            </w:tcBorders>
          </w:tcPr>
          <w:p w14:paraId="29EADA9C" w14:textId="77777777" w:rsidR="00107076" w:rsidRPr="00096493" w:rsidRDefault="00107076" w:rsidP="008F1EE3">
            <w:pPr>
              <w:spacing w:before="120"/>
              <w:rPr>
                <w:b/>
                <w:sz w:val="22"/>
                <w:u w:val="single"/>
              </w:rPr>
            </w:pPr>
            <w:r w:rsidRPr="00096493">
              <w:rPr>
                <w:b/>
                <w:sz w:val="22"/>
                <w:u w:val="single"/>
              </w:rPr>
              <w:t>Virtual Mobility Details</w:t>
            </w:r>
          </w:p>
          <w:p w14:paraId="31D14D6B" w14:textId="0B406133" w:rsidR="00107076" w:rsidRPr="00096493" w:rsidRDefault="00107076" w:rsidP="008F1EE3">
            <w:pPr>
              <w:spacing w:before="120"/>
              <w:rPr>
                <w:sz w:val="22"/>
              </w:rPr>
            </w:pPr>
            <w:r w:rsidRPr="00096493">
              <w:rPr>
                <w:sz w:val="22"/>
              </w:rPr>
              <w:t xml:space="preserve">Title: </w:t>
            </w:r>
            <w:r w:rsidR="005D6585" w:rsidRPr="00096493">
              <w:rPr>
                <w:sz w:val="22"/>
              </w:rPr>
              <w:t>Capacity-Building &amp; Dissemination Toolkit for CliMent</w:t>
            </w:r>
          </w:p>
          <w:p w14:paraId="50F6CE1A" w14:textId="77041EE6" w:rsidR="00107076" w:rsidRPr="00096493" w:rsidRDefault="00107076" w:rsidP="008E69EA">
            <w:pPr>
              <w:spacing w:before="120"/>
              <w:rPr>
                <w:b/>
                <w:sz w:val="22"/>
                <w:u w:val="single"/>
              </w:rPr>
            </w:pPr>
            <w:r w:rsidRPr="00096493">
              <w:rPr>
                <w:sz w:val="22"/>
              </w:rPr>
              <w:t xml:space="preserve">Start and end date: </w:t>
            </w:r>
            <w:r w:rsidR="008E69EA" w:rsidRPr="00096493">
              <w:rPr>
                <w:bCs/>
                <w:sz w:val="22"/>
              </w:rPr>
              <w:t>10/10/2025</w:t>
            </w:r>
            <w:r w:rsidRPr="00096493">
              <w:rPr>
                <w:sz w:val="22"/>
              </w:rPr>
              <w:t xml:space="preserve"> to </w:t>
            </w:r>
            <w:r w:rsidR="008E69EA" w:rsidRPr="00096493">
              <w:rPr>
                <w:sz w:val="22"/>
              </w:rPr>
              <w:t>25/10/2025</w:t>
            </w:r>
          </w:p>
        </w:tc>
      </w:tr>
      <w:tr w:rsidR="00107076" w:rsidRPr="00096493" w14:paraId="4BEE52FF" w14:textId="77777777" w:rsidTr="008F1EE3">
        <w:tc>
          <w:tcPr>
            <w:tcW w:w="9356" w:type="dxa"/>
            <w:tcBorders>
              <w:bottom w:val="nil"/>
            </w:tcBorders>
          </w:tcPr>
          <w:p w14:paraId="6A197883" w14:textId="77777777" w:rsidR="00107076" w:rsidRPr="00096493" w:rsidRDefault="00107076" w:rsidP="008F1EE3">
            <w:pPr>
              <w:spacing w:before="120"/>
              <w:rPr>
                <w:b/>
                <w:sz w:val="22"/>
                <w:szCs w:val="24"/>
                <w:u w:val="single"/>
              </w:rPr>
            </w:pPr>
            <w:r w:rsidRPr="00096493">
              <w:rPr>
                <w:b/>
                <w:sz w:val="22"/>
                <w:szCs w:val="24"/>
                <w:u w:val="single"/>
              </w:rPr>
              <w:t>Description of the work carried out during the VM</w:t>
            </w:r>
          </w:p>
          <w:p w14:paraId="6E31281B" w14:textId="77777777" w:rsidR="00107076" w:rsidRPr="00096493" w:rsidRDefault="00107076" w:rsidP="008F1EE3">
            <w:pPr>
              <w:spacing w:before="120"/>
              <w:rPr>
                <w:rFonts w:ascii="ArialMT" w:eastAsiaTheme="minorEastAsia" w:hAnsi="ArialMT" w:cs="ArialMT"/>
                <w:color w:val="656966"/>
              </w:rPr>
            </w:pPr>
            <w:r w:rsidRPr="00096493">
              <w:rPr>
                <w:rFonts w:ascii="ArialMT" w:eastAsiaTheme="minorEastAsia" w:hAnsi="ArialMT" w:cs="ArialMT"/>
                <w:color w:val="656966"/>
              </w:rPr>
              <w:t xml:space="preserve">Description of the virtual collaboration and activities carried out during the VM, </w:t>
            </w:r>
            <w:r w:rsidRPr="00096493">
              <w:rPr>
                <w:rFonts w:ascii="ArialMT" w:hAnsi="ArialMT" w:cs="ArialMT"/>
                <w:color w:val="656966"/>
              </w:rPr>
              <w:t xml:space="preserve">with focus on the work carried out by the grantee. </w:t>
            </w:r>
            <w:r w:rsidRPr="00096493">
              <w:rPr>
                <w:rFonts w:ascii="ArialMT" w:eastAsiaTheme="minorEastAsia" w:hAnsi="ArialMT" w:cs="ArialMT"/>
                <w:color w:val="656966"/>
              </w:rPr>
              <w:t>Any deviations from the initial working plan shall also be described in this section.</w:t>
            </w:r>
          </w:p>
          <w:p w14:paraId="6EDC90F0" w14:textId="77777777" w:rsidR="00107076" w:rsidRPr="00096493" w:rsidRDefault="00107076" w:rsidP="008F1EE3">
            <w:pPr>
              <w:spacing w:before="120"/>
              <w:rPr>
                <w:i/>
                <w:iCs/>
              </w:rPr>
            </w:pPr>
            <w:r w:rsidRPr="00096493">
              <w:rPr>
                <w:i/>
                <w:iCs/>
              </w:rPr>
              <w:t xml:space="preserve">(max. 500 words) </w:t>
            </w:r>
          </w:p>
          <w:p w14:paraId="2FF229D8" w14:textId="45DC0943" w:rsidR="00C94B48" w:rsidRPr="00096493" w:rsidRDefault="00C94B48" w:rsidP="00C94B48">
            <w:r w:rsidRPr="00096493">
              <w:t>The Virtual Mobility focused on designing and producing a practical toolkit to standardise how CliMent communicates findings and manages light-weight reporting. Following an initial scoping discussion with Action Chair Prof. Francisco Sampaio, the work programme prioritised: (</w:t>
            </w:r>
            <w:proofErr w:type="spellStart"/>
            <w:r w:rsidRPr="00096493">
              <w:t>i</w:t>
            </w:r>
            <w:proofErr w:type="spellEnd"/>
            <w:r w:rsidRPr="00096493">
              <w:t>) reusable templates, (ii) short standard operating procedures (SOPs), and (iii) compliance, accessibility and audit elements that align with EU/COST requirements.</w:t>
            </w:r>
          </w:p>
          <w:p w14:paraId="335A4719" w14:textId="4FA67B8F" w:rsidR="00C94B48" w:rsidRPr="00096493" w:rsidRDefault="00C94B48" w:rsidP="00C94B48">
            <w:r w:rsidRPr="00096493">
              <w:t>First, a coherent template suite was drafted: Finding Brief</w:t>
            </w:r>
            <w:r w:rsidR="009A0F21">
              <w:t xml:space="preserve"> (</w:t>
            </w:r>
            <w:r w:rsidR="001E22E6">
              <w:t>Appendix</w:t>
            </w:r>
            <w:r w:rsidR="009A0F21">
              <w:t xml:space="preserve"> 1)</w:t>
            </w:r>
            <w:r w:rsidRPr="00096493">
              <w:t>, Policy Brief</w:t>
            </w:r>
            <w:r w:rsidR="009A0F21">
              <w:t xml:space="preserve"> </w:t>
            </w:r>
            <w:r w:rsidR="009A0F21">
              <w:t>(</w:t>
            </w:r>
            <w:r w:rsidR="001E22E6">
              <w:t>Appendix</w:t>
            </w:r>
            <w:r w:rsidR="009A0F21">
              <w:t xml:space="preserve"> </w:t>
            </w:r>
            <w:r w:rsidR="009A0F21">
              <w:t>2</w:t>
            </w:r>
            <w:r w:rsidR="009A0F21">
              <w:t>)</w:t>
            </w:r>
            <w:r w:rsidRPr="00096493">
              <w:t>, and Web/Social Frames</w:t>
            </w:r>
            <w:r w:rsidR="009A0F21">
              <w:t xml:space="preserve"> </w:t>
            </w:r>
            <w:r w:rsidR="009A0F21">
              <w:t>(</w:t>
            </w:r>
            <w:r w:rsidR="001E22E6">
              <w:t>Appendix</w:t>
            </w:r>
            <w:r w:rsidR="009A0F21">
              <w:t xml:space="preserve"> </w:t>
            </w:r>
            <w:r w:rsidR="009A0F21">
              <w:t>3</w:t>
            </w:r>
            <w:r w:rsidR="009A0F21">
              <w:t>)</w:t>
            </w:r>
            <w:r w:rsidRPr="00096493">
              <w:t xml:space="preserve"> for website news and short social posts. Each template includes clear places for the EU emblem and funding line, the COST acknowledgement, a compact block for finding authors &amp; source, a concise Action relationship &amp; acknowledgements statement (with corrected wording for external studies), and plain-language guidance for non-specialist readers. Accessibility basics (headings, </w:t>
            </w:r>
            <w:r w:rsidR="005343EC" w:rsidRPr="00096493">
              <w:t>Alt-Text</w:t>
            </w:r>
            <w:r w:rsidRPr="00096493">
              <w:t>, captions, contrast, descriptive links) are embedded as prompts.</w:t>
            </w:r>
          </w:p>
          <w:p w14:paraId="584DA3D2" w14:textId="2ABD9A6E" w:rsidR="00C94B48" w:rsidRPr="00096493" w:rsidRDefault="00C94B48" w:rsidP="00C94B48">
            <w:r w:rsidRPr="00096493">
              <w:t>Second, the governance layer was produced to ensure consistent quality and traceability: a Compliance Checklist</w:t>
            </w:r>
            <w:r w:rsidR="00BC49DB">
              <w:t xml:space="preserve"> </w:t>
            </w:r>
            <w:r w:rsidR="00BC49DB">
              <w:t>(</w:t>
            </w:r>
            <w:r w:rsidR="001E22E6">
              <w:t>Appendix</w:t>
            </w:r>
            <w:r w:rsidR="00BC49DB">
              <w:t xml:space="preserve"> </w:t>
            </w:r>
            <w:r w:rsidR="00BC49DB">
              <w:t>4</w:t>
            </w:r>
            <w:r w:rsidR="00BC49DB">
              <w:t>)</w:t>
            </w:r>
            <w:r w:rsidRPr="00096493">
              <w:t xml:space="preserve"> covering EU/COST visibility, accessibility and versioning; SOP — Content Approval</w:t>
            </w:r>
            <w:r w:rsidR="00C9438E">
              <w:t xml:space="preserve"> </w:t>
            </w:r>
            <w:r w:rsidR="00C9438E">
              <w:t>(</w:t>
            </w:r>
            <w:r w:rsidR="001E22E6">
              <w:t>Appendix</w:t>
            </w:r>
            <w:r w:rsidR="00C9438E">
              <w:t xml:space="preserve"> </w:t>
            </w:r>
            <w:r w:rsidR="00C9438E">
              <w:t>5</w:t>
            </w:r>
            <w:r w:rsidR="00C9438E">
              <w:t>)</w:t>
            </w:r>
            <w:r w:rsidRPr="00096493">
              <w:t xml:space="preserve"> mapping the path draft → scientific review → ethics/IP checks → EU/COST visibility &amp; accessibility check → Chair sign-off → publish → archive; and SOP — Repository &amp; Versioning</w:t>
            </w:r>
            <w:r w:rsidR="00C9438E">
              <w:t xml:space="preserve"> </w:t>
            </w:r>
            <w:r w:rsidR="00C9438E">
              <w:t>(</w:t>
            </w:r>
            <w:r w:rsidR="001E22E6">
              <w:t>Appendix</w:t>
            </w:r>
            <w:r w:rsidR="00C9438E">
              <w:t xml:space="preserve"> </w:t>
            </w:r>
            <w:r w:rsidR="00C9438E">
              <w:t>6</w:t>
            </w:r>
            <w:r w:rsidR="00C9438E">
              <w:t>)</w:t>
            </w:r>
            <w:r w:rsidRPr="00096493">
              <w:t xml:space="preserve">, which defines the canonical structure for drafts and releases, filename conventions, semantic versioning, and minimal metadata. To support monitoring, a one-page KPI &amp; Audit Sheet </w:t>
            </w:r>
            <w:r w:rsidR="0010352F">
              <w:t>(</w:t>
            </w:r>
            <w:r w:rsidR="001E22E6">
              <w:t>Appendix</w:t>
            </w:r>
            <w:r w:rsidR="0010352F">
              <w:t xml:space="preserve"> </w:t>
            </w:r>
            <w:r w:rsidR="0010352F">
              <w:t>7</w:t>
            </w:r>
            <w:r w:rsidR="0010352F">
              <w:t>)</w:t>
            </w:r>
            <w:r w:rsidR="0010352F">
              <w:t xml:space="preserve"> </w:t>
            </w:r>
            <w:r w:rsidRPr="00096493">
              <w:t>and a user-facing Usage Guide</w:t>
            </w:r>
            <w:r w:rsidR="00E221FB">
              <w:t xml:space="preserve"> </w:t>
            </w:r>
            <w:r w:rsidR="00E221FB">
              <w:t>(</w:t>
            </w:r>
            <w:r w:rsidR="001E22E6">
              <w:t>Appendix</w:t>
            </w:r>
            <w:r w:rsidR="00E221FB">
              <w:t xml:space="preserve"> </w:t>
            </w:r>
            <w:r w:rsidR="00E221FB">
              <w:t>8</w:t>
            </w:r>
            <w:r w:rsidR="00E221FB">
              <w:t>)</w:t>
            </w:r>
            <w:r w:rsidRPr="00096493">
              <w:t xml:space="preserve"> were added. A short Rollout Note</w:t>
            </w:r>
            <w:r w:rsidR="00E221FB">
              <w:t xml:space="preserve"> </w:t>
            </w:r>
            <w:r w:rsidR="00E221FB">
              <w:t>(</w:t>
            </w:r>
            <w:r w:rsidR="001E22E6">
              <w:t>Appendix</w:t>
            </w:r>
            <w:r w:rsidR="00E221FB">
              <w:t xml:space="preserve"> </w:t>
            </w:r>
            <w:r w:rsidR="00E221FB">
              <w:t>9</w:t>
            </w:r>
            <w:r w:rsidR="00E221FB">
              <w:t>)</w:t>
            </w:r>
            <w:r w:rsidRPr="00096493">
              <w:t xml:space="preserve">, </w:t>
            </w:r>
            <w:r w:rsidR="005343EC" w:rsidRPr="00096493">
              <w:t>as well as</w:t>
            </w:r>
            <w:r w:rsidRPr="00096493">
              <w:t xml:space="preserve"> </w:t>
            </w:r>
            <w:r w:rsidR="005343EC" w:rsidRPr="00096493">
              <w:t>Readme</w:t>
            </w:r>
            <w:r w:rsidR="00E221FB">
              <w:t>/</w:t>
            </w:r>
            <w:r w:rsidRPr="00096493">
              <w:t>Release Notes</w:t>
            </w:r>
            <w:r w:rsidR="00E221FB">
              <w:t xml:space="preserve"> </w:t>
            </w:r>
            <w:r w:rsidR="00E221FB">
              <w:t>(</w:t>
            </w:r>
            <w:r w:rsidR="001E22E6">
              <w:t>Appendix</w:t>
            </w:r>
            <w:r w:rsidR="00E221FB">
              <w:t xml:space="preserve"> 1</w:t>
            </w:r>
            <w:r w:rsidR="00887B03">
              <w:t>0</w:t>
            </w:r>
            <w:r w:rsidR="00E221FB">
              <w:t>)</w:t>
            </w:r>
            <w:r w:rsidRPr="00096493">
              <w:t xml:space="preserve"> and </w:t>
            </w:r>
            <w:r w:rsidR="005343EC" w:rsidRPr="00096493">
              <w:t>Changelog files</w:t>
            </w:r>
            <w:r w:rsidR="00887B03">
              <w:t xml:space="preserve"> </w:t>
            </w:r>
            <w:r w:rsidR="00887B03">
              <w:t>(</w:t>
            </w:r>
            <w:r w:rsidR="001E22E6">
              <w:t>Appendix</w:t>
            </w:r>
            <w:r w:rsidR="00887B03">
              <w:t xml:space="preserve"> 1</w:t>
            </w:r>
            <w:r w:rsidR="00887B03">
              <w:t>1</w:t>
            </w:r>
            <w:r w:rsidR="00887B03">
              <w:t>)</w:t>
            </w:r>
            <w:r w:rsidRPr="00096493">
              <w:t>, complete the release package.</w:t>
            </w:r>
          </w:p>
          <w:p w14:paraId="50B7D344" w14:textId="6EE8F2CD" w:rsidR="00C94B48" w:rsidRPr="00096493" w:rsidRDefault="00C94B48" w:rsidP="00C94B48">
            <w:r w:rsidRPr="00096493">
              <w:lastRenderedPageBreak/>
              <w:t xml:space="preserve">Third, a simple, human-readable identifier scheme was set to aid citation and audit: Report No. = CliMent-Code-YYYY-NN (e.g., CliMent-FB-2025-01), used alongside version tags (v1.0, v1.0.1) and </w:t>
            </w:r>
            <w:r w:rsidR="005343EC" w:rsidRPr="00096493">
              <w:t>l</w:t>
            </w:r>
            <w:r w:rsidRPr="00096493">
              <w:t xml:space="preserve">ast </w:t>
            </w:r>
            <w:r w:rsidR="005343EC" w:rsidRPr="00096493">
              <w:t>revision</w:t>
            </w:r>
            <w:r w:rsidRPr="00096493">
              <w:t xml:space="preserve"> dates on covers and filenames. All documents were prepared virtually, iterated through v0.1 → v0.2, and consolidated for v1.0 submission. Where visual assets are required (logos, figures), placeholders and instructions are included so Working Groups can add them locally without breaking compliance.</w:t>
            </w:r>
          </w:p>
          <w:p w14:paraId="0E46C488" w14:textId="389E4FB1" w:rsidR="00107076" w:rsidRPr="00096493" w:rsidRDefault="00C94B48" w:rsidP="00C94B48">
            <w:r w:rsidRPr="00096493">
              <w:t xml:space="preserve">The </w:t>
            </w:r>
            <w:r w:rsidR="002E10E3" w:rsidRPr="00096493">
              <w:t xml:space="preserve">public </w:t>
            </w:r>
            <w:r w:rsidRPr="00096493">
              <w:t xml:space="preserve">outputs were written in clear English for broad stakeholders, with neutral, non-promotional language. The toolkit is designed to minimise editorial overhead, make responsibilities explicit, and enable remote-first collaboration, including participants from Inclusiveness Target Countries. </w:t>
            </w:r>
            <w:r w:rsidR="00096493" w:rsidRPr="00096493">
              <w:t>The final packaging was approved by the Action Chair on 20 October 2025, thus setting it up for consideration by the Management Committee and subsequent controlled updates.</w:t>
            </w:r>
          </w:p>
        </w:tc>
      </w:tr>
      <w:tr w:rsidR="00107076" w:rsidRPr="00096493" w14:paraId="62498363" w14:textId="77777777" w:rsidTr="008F1EE3">
        <w:tc>
          <w:tcPr>
            <w:tcW w:w="9356" w:type="dxa"/>
            <w:tcBorders>
              <w:bottom w:val="nil"/>
            </w:tcBorders>
          </w:tcPr>
          <w:p w14:paraId="10F2E651" w14:textId="77777777" w:rsidR="00107076" w:rsidRPr="00096493" w:rsidRDefault="00107076" w:rsidP="008F1EE3">
            <w:pPr>
              <w:spacing w:before="120"/>
              <w:rPr>
                <w:b/>
                <w:sz w:val="22"/>
                <w:szCs w:val="24"/>
                <w:u w:val="single"/>
              </w:rPr>
            </w:pPr>
            <w:r w:rsidRPr="00096493">
              <w:rPr>
                <w:b/>
                <w:sz w:val="22"/>
                <w:szCs w:val="24"/>
                <w:u w:val="single"/>
              </w:rPr>
              <w:lastRenderedPageBreak/>
              <w:t>Description of the VM main achievements and planned follow-up activities</w:t>
            </w:r>
          </w:p>
          <w:p w14:paraId="517A778F" w14:textId="77777777" w:rsidR="00107076" w:rsidRPr="00096493" w:rsidRDefault="00107076" w:rsidP="008F1EE3">
            <w:pPr>
              <w:spacing w:before="120"/>
              <w:rPr>
                <w:rFonts w:ascii="ArialMT" w:hAnsi="ArialMT" w:cs="ArialMT"/>
                <w:color w:val="656966"/>
              </w:rPr>
            </w:pPr>
            <w:r w:rsidRPr="00096493">
              <w:rPr>
                <w:rFonts w:ascii="ArialMT" w:eastAsiaTheme="minorEastAsia" w:hAnsi="ArialMT" w:cs="ArialMT"/>
                <w:color w:val="656966"/>
              </w:rPr>
              <w:t>Description and assessment of whether the VM achieved its planned goals and expected outcomes, including specific contribution to Action objective and deliverables, or publications resulting from the VM. Agreed plans for future follow-up collaborations shall also be described in this section.</w:t>
            </w:r>
          </w:p>
        </w:tc>
      </w:tr>
      <w:tr w:rsidR="00107076" w:rsidRPr="00096493" w14:paraId="553E1690" w14:textId="77777777" w:rsidTr="008F1EE3">
        <w:trPr>
          <w:trHeight w:val="1722"/>
        </w:trPr>
        <w:tc>
          <w:tcPr>
            <w:tcW w:w="9356" w:type="dxa"/>
            <w:tcBorders>
              <w:top w:val="nil"/>
              <w:bottom w:val="single" w:sz="4" w:space="0" w:color="auto"/>
            </w:tcBorders>
          </w:tcPr>
          <w:p w14:paraId="39425005" w14:textId="77777777" w:rsidR="00107076" w:rsidRPr="00096493" w:rsidRDefault="00107076" w:rsidP="008F1EE3">
            <w:pPr>
              <w:spacing w:before="120"/>
              <w:rPr>
                <w:i/>
                <w:iCs/>
              </w:rPr>
            </w:pPr>
            <w:r w:rsidRPr="00096493">
              <w:rPr>
                <w:i/>
                <w:iCs/>
              </w:rPr>
              <w:t xml:space="preserve">(max. 500 words) </w:t>
            </w:r>
          </w:p>
          <w:p w14:paraId="17B3EA5E" w14:textId="4E5D1D74" w:rsidR="00472831" w:rsidRPr="00096493" w:rsidRDefault="00472831" w:rsidP="00472831">
            <w:r w:rsidRPr="00096493">
              <w:rPr>
                <w:b/>
                <w:bCs/>
              </w:rPr>
              <w:t>Main achievements.</w:t>
            </w:r>
            <w:r w:rsidRPr="00096493">
              <w:t xml:space="preserve"> The VM delivered an integrated toolkit of 11 short, practical documents that create a consistent pathway from drafting to publication. The template suite reduces time-to-publish while improving clarity for non-specialists. The governance elements (checklist and SOPs) embed EU/COST visibility, accessibility by default, and traceable versioning, reducing compliance risk and ensuring that outputs can be audited or cited reliably. The Report No. scheme (CliMent-Code-YYYY-NN) and filename pattern give each document a stable identity across updates and translations. The KPI &amp; Audit Sheet offers a quarterly snapshot of compliance and operational cadence, while the Usage Guide lowers the learning curve for editors and reviewers. Overall, the package strengthens capacity building across the Action and directly supports timely, accurate dissemination.</w:t>
            </w:r>
          </w:p>
          <w:p w14:paraId="6C32DB22" w14:textId="67BEB885" w:rsidR="00472831" w:rsidRPr="00096493" w:rsidRDefault="00472831" w:rsidP="00472831">
            <w:r w:rsidRPr="00096493">
              <w:t xml:space="preserve">The toolkit is also future-oriented. It provides a structured archive and </w:t>
            </w:r>
            <w:r w:rsidR="00692A39" w:rsidRPr="00096493">
              <w:t>changes</w:t>
            </w:r>
            <w:r w:rsidRPr="00096493">
              <w:t xml:space="preserve"> history (</w:t>
            </w:r>
            <w:r w:rsidR="00692A39" w:rsidRPr="00096493">
              <w:t xml:space="preserve">Readme </w:t>
            </w:r>
            <w:r w:rsidRPr="00096493">
              <w:t xml:space="preserve">+ </w:t>
            </w:r>
            <w:r w:rsidR="00692A39" w:rsidRPr="00096493">
              <w:t>Changelog</w:t>
            </w:r>
            <w:r w:rsidRPr="00096493">
              <w:t>) so that evidence of process quality is available for Year 2 reporting and the COST final results report. By separating a working area (drafts and reviews) from a release area (approved files), the approach prevents silent edits and enables light-touch audits. All materials follow a “plain language, minimum friction” philosophy to encourage adoption beyond experienced communicators.</w:t>
            </w:r>
          </w:p>
          <w:p w14:paraId="760D9006" w14:textId="77777777" w:rsidR="00472831" w:rsidRPr="00096493" w:rsidRDefault="00472831" w:rsidP="00472831">
            <w:pPr>
              <w:rPr>
                <w:b/>
                <w:bCs/>
              </w:rPr>
            </w:pPr>
            <w:r w:rsidRPr="00096493">
              <w:rPr>
                <w:b/>
                <w:bCs/>
              </w:rPr>
              <w:t>Planned follow-up activities.</w:t>
            </w:r>
          </w:p>
          <w:p w14:paraId="015B2CF2" w14:textId="1AA91DE1" w:rsidR="00472831" w:rsidRPr="00096493" w:rsidRDefault="00472831" w:rsidP="00472831">
            <w:r w:rsidRPr="00096493">
              <w:t>Management Committee pathway: submit the v1.0 package for MC consideration</w:t>
            </w:r>
            <w:r w:rsidR="00BD35BB" w:rsidRPr="00096493">
              <w:t>.</w:t>
            </w:r>
          </w:p>
          <w:p w14:paraId="21D7EFA5" w14:textId="77777777" w:rsidR="00472831" w:rsidRPr="00096493" w:rsidRDefault="00472831" w:rsidP="00472831">
            <w:r w:rsidRPr="00096493">
              <w:t>Rapid onboarding: offer a brief virtual orientation for WG leads on when to use a Finding Brief vs a Policy Brief, where to place the EU/COST elements, and how to pass the approval steps efficiently.</w:t>
            </w:r>
          </w:p>
          <w:p w14:paraId="74115B77" w14:textId="6DE04AFC" w:rsidR="00472831" w:rsidRPr="00096493" w:rsidRDefault="00472831" w:rsidP="00472831">
            <w:r w:rsidRPr="00096493">
              <w:t>Pilot and refine: produce at least one Finding Brief and one Policy Brief using the new templates; capture feedback; issue small corrections as v1.0.1 (</w:t>
            </w:r>
            <w:r w:rsidR="00BD35BB" w:rsidRPr="00096493">
              <w:t>Patch</w:t>
            </w:r>
            <w:r w:rsidRPr="00096493">
              <w:t>) if needed.</w:t>
            </w:r>
          </w:p>
          <w:p w14:paraId="58EED75B" w14:textId="77777777" w:rsidR="00472831" w:rsidRPr="00096493" w:rsidRDefault="00472831" w:rsidP="00472831">
            <w:r w:rsidRPr="00096493">
              <w:t>Assign Report Nos. and registry upkeep: the Science Communication Team will assign identifiers and maintain a simple registry to avoid duplication and support citation.</w:t>
            </w:r>
          </w:p>
          <w:p w14:paraId="5DC8AEAD" w14:textId="77777777" w:rsidR="00472831" w:rsidRPr="00096493" w:rsidRDefault="00472831" w:rsidP="00472831">
            <w:r w:rsidRPr="00096493">
              <w:t>Quarterly audits: run the KPI &amp; Audit Sheet on a small sample of outputs; log corrections and lessons learned; share a brief note with the Chair and WG leads.</w:t>
            </w:r>
          </w:p>
          <w:p w14:paraId="76E1FCE9" w14:textId="77777777" w:rsidR="00472831" w:rsidRPr="00096493" w:rsidRDefault="00472831" w:rsidP="00472831">
            <w:r w:rsidRPr="00096493">
              <w:t>Sustainability tasks: add an examples gallery over time, maintain backups of the repository, and, where useful, prepare multilingual front-matter (e.g., lay summaries) without changing the underlying versioning.</w:t>
            </w:r>
          </w:p>
          <w:p w14:paraId="0EAB1B2C" w14:textId="0A41C79D" w:rsidR="00107076" w:rsidRPr="00096493" w:rsidRDefault="00472831" w:rsidP="00BD35BB">
            <w:r w:rsidRPr="00096493">
              <w:lastRenderedPageBreak/>
              <w:t>These steps will consolidate adoption, keep compliance high, and ensure that CliMent can communicate findings quickly and consistently while meeting EU/COST expectations.</w:t>
            </w:r>
          </w:p>
        </w:tc>
      </w:tr>
    </w:tbl>
    <w:p w14:paraId="1E3BB603" w14:textId="09B92752" w:rsidR="005146D6" w:rsidRPr="00096493" w:rsidRDefault="005146D6" w:rsidP="00B87972"/>
    <w:sectPr w:rsidR="005146D6" w:rsidRPr="00096493"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14B52" w14:textId="77777777" w:rsidR="000141FF" w:rsidRDefault="000141FF" w:rsidP="00F24F32">
      <w:r>
        <w:separator/>
      </w:r>
    </w:p>
  </w:endnote>
  <w:endnote w:type="continuationSeparator" w:id="0">
    <w:p w14:paraId="0F95EBC8" w14:textId="77777777" w:rsidR="000141FF" w:rsidRDefault="000141FF"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464B5" w14:textId="77777777" w:rsidR="00687DCA" w:rsidRDefault="00687DC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C1E" w14:textId="67331524" w:rsidR="00851130" w:rsidRDefault="00851130" w:rsidP="00F24F32">
    <w:pPr>
      <w:pStyle w:val="AltBilgi"/>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0F7B5" w14:textId="2F0F311A" w:rsidR="00CE1D0D" w:rsidRPr="00ED1804" w:rsidRDefault="00CE1D0D" w:rsidP="00987F45">
    <w:pPr>
      <w:pStyle w:val="AltBilgi"/>
      <w:rPr>
        <w:rFonts w:ascii="Effra" w:hAnsi="Effra"/>
        <w:noProof/>
        <w:sz w:val="17"/>
        <w:szCs w:val="17"/>
      </w:rPr>
    </w:pPr>
  </w:p>
  <w:p w14:paraId="6756AE4E" w14:textId="74DB7DBF" w:rsidR="00851130" w:rsidRPr="00703422" w:rsidRDefault="00630287" w:rsidP="00D7115C">
    <w:pPr>
      <w:pStyle w:val="AltBilgi"/>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AltBilgi"/>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AltBilgi"/>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217E7" w14:textId="77777777" w:rsidR="000141FF" w:rsidRDefault="000141FF" w:rsidP="00F24F32">
      <w:r>
        <w:separator/>
      </w:r>
    </w:p>
  </w:footnote>
  <w:footnote w:type="continuationSeparator" w:id="0">
    <w:p w14:paraId="39BE7FF1" w14:textId="77777777" w:rsidR="000141FF" w:rsidRDefault="000141FF"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DipnotBavurusu"/>
          <w:color w:val="56585B"/>
          <w:sz w:val="16"/>
          <w:szCs w:val="16"/>
          <w:lang w:val="nl-BE"/>
        </w:rPr>
        <w:footnoteRef/>
      </w:r>
      <w:r w:rsidRPr="00A02DDA">
        <w:rPr>
          <w:rStyle w:val="DipnotBavurusu"/>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920" w14:textId="77777777" w:rsidR="00687DCA" w:rsidRDefault="00687DC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3466D" w14:textId="77777777" w:rsidR="00851130" w:rsidRDefault="00851130" w:rsidP="00F24F32">
    <w:pPr>
      <w:pStyle w:val="stBilgi"/>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65A25" w14:textId="35236CF4" w:rsidR="00773BAB" w:rsidRDefault="00687DCA" w:rsidP="00773BAB">
    <w:pPr>
      <w:pStyle w:val="stBilgi"/>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stBilgi"/>
    </w:pPr>
  </w:p>
  <w:p w14:paraId="32E79874" w14:textId="0096D2D9" w:rsidR="00773BAB" w:rsidRDefault="00773BAB" w:rsidP="00773BAB">
    <w:pPr>
      <w:pStyle w:val="stBilgi"/>
    </w:pPr>
  </w:p>
  <w:p w14:paraId="79D070D4" w14:textId="77777777" w:rsidR="00773BAB" w:rsidRDefault="00773BAB" w:rsidP="00773BAB">
    <w:pPr>
      <w:pStyle w:val="stBilgi"/>
    </w:pPr>
  </w:p>
  <w:p w14:paraId="63376EFC" w14:textId="782C3E9B" w:rsidR="00851130" w:rsidRDefault="00851130">
    <w:pPr>
      <w:pStyle w:val="stBilgi"/>
      <w:rPr>
        <w:b/>
        <w:bCs/>
        <w:color w:val="3D5ABF"/>
      </w:rPr>
    </w:pPr>
  </w:p>
  <w:p w14:paraId="546AADB4" w14:textId="77777777" w:rsidR="00E427EA" w:rsidRDefault="00E427E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Balk1"/>
      <w:lvlText w:val="%1."/>
      <w:lvlJc w:val="left"/>
      <w:pPr>
        <w:ind w:left="360" w:hanging="360"/>
      </w:pPr>
      <w:rPr>
        <w:rFonts w:hint="default"/>
      </w:rPr>
    </w:lvl>
    <w:lvl w:ilvl="1">
      <w:start w:val="1"/>
      <w:numFmt w:val="decimal"/>
      <w:pStyle w:val="Balk2"/>
      <w:lvlText w:val="%1.%2."/>
      <w:lvlJc w:val="left"/>
      <w:pPr>
        <w:ind w:left="792" w:hanging="432"/>
      </w:pPr>
      <w:rPr>
        <w:rFonts w:hint="default"/>
      </w:rPr>
    </w:lvl>
    <w:lvl w:ilvl="2">
      <w:start w:val="1"/>
      <w:numFmt w:val="decimal"/>
      <w:pStyle w:val="Balk3"/>
      <w:lvlText w:val="%1.%2.%3."/>
      <w:lvlJc w:val="left"/>
      <w:pPr>
        <w:ind w:left="1224" w:hanging="504"/>
      </w:pPr>
      <w:rPr>
        <w:rFonts w:hint="default"/>
      </w:rPr>
    </w:lvl>
    <w:lvl w:ilvl="3">
      <w:start w:val="1"/>
      <w:numFmt w:val="decimal"/>
      <w:pStyle w:val="Balk4"/>
      <w:lvlText w:val="%1.%2.%3.%4."/>
      <w:lvlJc w:val="left"/>
      <w:pPr>
        <w:ind w:left="1728" w:hanging="648"/>
      </w:pPr>
      <w:rPr>
        <w:rFonts w:hint="default"/>
      </w:rPr>
    </w:lvl>
    <w:lvl w:ilvl="4">
      <w:start w:val="1"/>
      <w:numFmt w:val="decimal"/>
      <w:pStyle w:val="Balk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59755FE"/>
    <w:multiLevelType w:val="multilevel"/>
    <w:tmpl w:val="64208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2"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3"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994987950">
    <w:abstractNumId w:val="16"/>
  </w:num>
  <w:num w:numId="2" w16cid:durableId="1595089764">
    <w:abstractNumId w:val="23"/>
  </w:num>
  <w:num w:numId="3" w16cid:durableId="539366694">
    <w:abstractNumId w:val="24"/>
  </w:num>
  <w:num w:numId="4" w16cid:durableId="261424754">
    <w:abstractNumId w:val="21"/>
  </w:num>
  <w:num w:numId="5" w16cid:durableId="527373946">
    <w:abstractNumId w:val="11"/>
  </w:num>
  <w:num w:numId="6" w16cid:durableId="796220248">
    <w:abstractNumId w:val="4"/>
  </w:num>
  <w:num w:numId="7" w16cid:durableId="1093623305">
    <w:abstractNumId w:val="5"/>
  </w:num>
  <w:num w:numId="8" w16cid:durableId="975447957">
    <w:abstractNumId w:val="6"/>
  </w:num>
  <w:num w:numId="9" w16cid:durableId="36853302">
    <w:abstractNumId w:val="7"/>
  </w:num>
  <w:num w:numId="10" w16cid:durableId="1209218573">
    <w:abstractNumId w:val="9"/>
  </w:num>
  <w:num w:numId="11" w16cid:durableId="289554867">
    <w:abstractNumId w:val="0"/>
  </w:num>
  <w:num w:numId="12" w16cid:durableId="888036882">
    <w:abstractNumId w:val="1"/>
  </w:num>
  <w:num w:numId="13" w16cid:durableId="2010860857">
    <w:abstractNumId w:val="2"/>
  </w:num>
  <w:num w:numId="14" w16cid:durableId="771363493">
    <w:abstractNumId w:val="3"/>
  </w:num>
  <w:num w:numId="15" w16cid:durableId="1506553792">
    <w:abstractNumId w:val="8"/>
  </w:num>
  <w:num w:numId="16" w16cid:durableId="306789553">
    <w:abstractNumId w:val="29"/>
  </w:num>
  <w:num w:numId="17" w16cid:durableId="2043939154">
    <w:abstractNumId w:val="33"/>
  </w:num>
  <w:num w:numId="18" w16cid:durableId="777990539">
    <w:abstractNumId w:val="17"/>
  </w:num>
  <w:num w:numId="19" w16cid:durableId="1843544648">
    <w:abstractNumId w:val="19"/>
  </w:num>
  <w:num w:numId="20" w16cid:durableId="1783063237">
    <w:abstractNumId w:val="10"/>
  </w:num>
  <w:num w:numId="21" w16cid:durableId="1336421437">
    <w:abstractNumId w:val="28"/>
  </w:num>
  <w:num w:numId="22" w16cid:durableId="206532433">
    <w:abstractNumId w:val="22"/>
  </w:num>
  <w:num w:numId="23" w16cid:durableId="723678914">
    <w:abstractNumId w:val="14"/>
  </w:num>
  <w:num w:numId="24" w16cid:durableId="500244196">
    <w:abstractNumId w:val="31"/>
  </w:num>
  <w:num w:numId="25" w16cid:durableId="310912332">
    <w:abstractNumId w:val="15"/>
  </w:num>
  <w:num w:numId="26" w16cid:durableId="368146351">
    <w:abstractNumId w:val="32"/>
  </w:num>
  <w:num w:numId="27" w16cid:durableId="2066098056">
    <w:abstractNumId w:val="12"/>
  </w:num>
  <w:num w:numId="28" w16cid:durableId="134305210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73694873">
    <w:abstractNumId w:val="13"/>
  </w:num>
  <w:num w:numId="30" w16cid:durableId="1555509381">
    <w:abstractNumId w:val="20"/>
  </w:num>
  <w:num w:numId="31" w16cid:durableId="1944069191">
    <w:abstractNumId w:val="34"/>
  </w:num>
  <w:num w:numId="32" w16cid:durableId="858929288">
    <w:abstractNumId w:val="27"/>
  </w:num>
  <w:num w:numId="33" w16cid:durableId="2098287327">
    <w:abstractNumId w:val="18"/>
  </w:num>
  <w:num w:numId="34" w16cid:durableId="1591692972">
    <w:abstractNumId w:val="30"/>
  </w:num>
  <w:num w:numId="35" w16cid:durableId="1211574940">
    <w:abstractNumId w:val="26"/>
  </w:num>
  <w:num w:numId="36" w16cid:durableId="71639909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141FF"/>
    <w:rsid w:val="00033FE1"/>
    <w:rsid w:val="00035AF5"/>
    <w:rsid w:val="00042125"/>
    <w:rsid w:val="0005130B"/>
    <w:rsid w:val="00071487"/>
    <w:rsid w:val="0008039C"/>
    <w:rsid w:val="00096493"/>
    <w:rsid w:val="000A5EC1"/>
    <w:rsid w:val="000B09FC"/>
    <w:rsid w:val="000C2C8D"/>
    <w:rsid w:val="000C514F"/>
    <w:rsid w:val="000D0EC9"/>
    <w:rsid w:val="000D665C"/>
    <w:rsid w:val="000D7E03"/>
    <w:rsid w:val="000E50CB"/>
    <w:rsid w:val="000F54CA"/>
    <w:rsid w:val="00101381"/>
    <w:rsid w:val="0010352F"/>
    <w:rsid w:val="00107076"/>
    <w:rsid w:val="00114C0F"/>
    <w:rsid w:val="00122D96"/>
    <w:rsid w:val="0012515B"/>
    <w:rsid w:val="0012616A"/>
    <w:rsid w:val="0014551F"/>
    <w:rsid w:val="00147143"/>
    <w:rsid w:val="00165154"/>
    <w:rsid w:val="0017113B"/>
    <w:rsid w:val="00172F75"/>
    <w:rsid w:val="001814CB"/>
    <w:rsid w:val="00181660"/>
    <w:rsid w:val="00196ED6"/>
    <w:rsid w:val="001B3E10"/>
    <w:rsid w:val="001B6D47"/>
    <w:rsid w:val="001C1A5F"/>
    <w:rsid w:val="001C20DF"/>
    <w:rsid w:val="001C2253"/>
    <w:rsid w:val="001C3E87"/>
    <w:rsid w:val="001E22E6"/>
    <w:rsid w:val="001E51B4"/>
    <w:rsid w:val="002050E6"/>
    <w:rsid w:val="00205BFB"/>
    <w:rsid w:val="002232AF"/>
    <w:rsid w:val="00231490"/>
    <w:rsid w:val="00231CB1"/>
    <w:rsid w:val="00253039"/>
    <w:rsid w:val="00266DE4"/>
    <w:rsid w:val="00275878"/>
    <w:rsid w:val="0028353D"/>
    <w:rsid w:val="00285A54"/>
    <w:rsid w:val="002C082C"/>
    <w:rsid w:val="002E10E3"/>
    <w:rsid w:val="003116DF"/>
    <w:rsid w:val="003127A2"/>
    <w:rsid w:val="00321CAC"/>
    <w:rsid w:val="00324DF6"/>
    <w:rsid w:val="00335FD5"/>
    <w:rsid w:val="00347A65"/>
    <w:rsid w:val="00353A67"/>
    <w:rsid w:val="003573E0"/>
    <w:rsid w:val="00366244"/>
    <w:rsid w:val="00371761"/>
    <w:rsid w:val="00384D8B"/>
    <w:rsid w:val="00386D3F"/>
    <w:rsid w:val="0039283D"/>
    <w:rsid w:val="003A3251"/>
    <w:rsid w:val="003A5BFB"/>
    <w:rsid w:val="003A5CB0"/>
    <w:rsid w:val="003B54C9"/>
    <w:rsid w:val="003B59E7"/>
    <w:rsid w:val="003E5AE8"/>
    <w:rsid w:val="003E7115"/>
    <w:rsid w:val="0040461C"/>
    <w:rsid w:val="00407C0C"/>
    <w:rsid w:val="00415B74"/>
    <w:rsid w:val="0041648F"/>
    <w:rsid w:val="00430C33"/>
    <w:rsid w:val="00434377"/>
    <w:rsid w:val="00435BA4"/>
    <w:rsid w:val="00462342"/>
    <w:rsid w:val="00470DB1"/>
    <w:rsid w:val="00471C1C"/>
    <w:rsid w:val="00472831"/>
    <w:rsid w:val="0048049A"/>
    <w:rsid w:val="004E1663"/>
    <w:rsid w:val="004E73E5"/>
    <w:rsid w:val="004F1430"/>
    <w:rsid w:val="004F673B"/>
    <w:rsid w:val="00502099"/>
    <w:rsid w:val="00507965"/>
    <w:rsid w:val="005146D6"/>
    <w:rsid w:val="00515403"/>
    <w:rsid w:val="00516CEB"/>
    <w:rsid w:val="005245D6"/>
    <w:rsid w:val="005343EC"/>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D6585"/>
    <w:rsid w:val="005E4D74"/>
    <w:rsid w:val="005F16F7"/>
    <w:rsid w:val="005F4006"/>
    <w:rsid w:val="00603F42"/>
    <w:rsid w:val="00630011"/>
    <w:rsid w:val="00630287"/>
    <w:rsid w:val="006338E8"/>
    <w:rsid w:val="00650FE3"/>
    <w:rsid w:val="00683DBD"/>
    <w:rsid w:val="00686491"/>
    <w:rsid w:val="00687DCA"/>
    <w:rsid w:val="00692A39"/>
    <w:rsid w:val="00692EE6"/>
    <w:rsid w:val="006961C9"/>
    <w:rsid w:val="006B22CF"/>
    <w:rsid w:val="006C01FE"/>
    <w:rsid w:val="006D3906"/>
    <w:rsid w:val="006F1D77"/>
    <w:rsid w:val="006F46FB"/>
    <w:rsid w:val="006F5D84"/>
    <w:rsid w:val="00703422"/>
    <w:rsid w:val="00721D22"/>
    <w:rsid w:val="0073296A"/>
    <w:rsid w:val="00734932"/>
    <w:rsid w:val="0073624E"/>
    <w:rsid w:val="00736ADE"/>
    <w:rsid w:val="00753B15"/>
    <w:rsid w:val="007717AB"/>
    <w:rsid w:val="00773BAB"/>
    <w:rsid w:val="00774763"/>
    <w:rsid w:val="00775A3E"/>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6524B"/>
    <w:rsid w:val="00884865"/>
    <w:rsid w:val="00887B03"/>
    <w:rsid w:val="008A1B41"/>
    <w:rsid w:val="008A48FB"/>
    <w:rsid w:val="008C46E3"/>
    <w:rsid w:val="008D41D4"/>
    <w:rsid w:val="008D58DB"/>
    <w:rsid w:val="008E223F"/>
    <w:rsid w:val="008E3111"/>
    <w:rsid w:val="008E69EA"/>
    <w:rsid w:val="0090460B"/>
    <w:rsid w:val="00907599"/>
    <w:rsid w:val="0091197C"/>
    <w:rsid w:val="009129E6"/>
    <w:rsid w:val="0091620F"/>
    <w:rsid w:val="00925BD4"/>
    <w:rsid w:val="00933036"/>
    <w:rsid w:val="00944A2B"/>
    <w:rsid w:val="009471FF"/>
    <w:rsid w:val="00947D10"/>
    <w:rsid w:val="00963B82"/>
    <w:rsid w:val="00983788"/>
    <w:rsid w:val="00987F45"/>
    <w:rsid w:val="00991ABF"/>
    <w:rsid w:val="009A0F21"/>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AD63B3"/>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A0A3F"/>
    <w:rsid w:val="00BA0EC7"/>
    <w:rsid w:val="00BA2EC0"/>
    <w:rsid w:val="00BB3380"/>
    <w:rsid w:val="00BB6165"/>
    <w:rsid w:val="00BC49DB"/>
    <w:rsid w:val="00BD35BB"/>
    <w:rsid w:val="00C012BE"/>
    <w:rsid w:val="00C10B3C"/>
    <w:rsid w:val="00C12AD6"/>
    <w:rsid w:val="00C152B0"/>
    <w:rsid w:val="00C26592"/>
    <w:rsid w:val="00C40AA2"/>
    <w:rsid w:val="00C419B2"/>
    <w:rsid w:val="00C50EAE"/>
    <w:rsid w:val="00C63D6F"/>
    <w:rsid w:val="00C75B36"/>
    <w:rsid w:val="00C76FF9"/>
    <w:rsid w:val="00C810C7"/>
    <w:rsid w:val="00C86BE2"/>
    <w:rsid w:val="00C9438E"/>
    <w:rsid w:val="00C94B48"/>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21FB"/>
    <w:rsid w:val="00E2595C"/>
    <w:rsid w:val="00E264A6"/>
    <w:rsid w:val="00E36E40"/>
    <w:rsid w:val="00E427EA"/>
    <w:rsid w:val="00E4345B"/>
    <w:rsid w:val="00E52E6D"/>
    <w:rsid w:val="00E53F4A"/>
    <w:rsid w:val="00E65655"/>
    <w:rsid w:val="00E674D3"/>
    <w:rsid w:val="00E71E6D"/>
    <w:rsid w:val="00EA701A"/>
    <w:rsid w:val="00EB647F"/>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92CF3"/>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Balk1">
    <w:name w:val="heading 1"/>
    <w:basedOn w:val="Normal"/>
    <w:next w:val="Normal"/>
    <w:link w:val="Balk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Balk2">
    <w:name w:val="heading 2"/>
    <w:basedOn w:val="Balk1"/>
    <w:next w:val="Normal"/>
    <w:link w:val="Balk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Balk3">
    <w:name w:val="heading 3"/>
    <w:basedOn w:val="Balk2"/>
    <w:next w:val="Normal"/>
    <w:link w:val="Balk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Balk4">
    <w:name w:val="heading 4"/>
    <w:basedOn w:val="Balk3"/>
    <w:next w:val="Normal"/>
    <w:link w:val="Balk4Char"/>
    <w:uiPriority w:val="9"/>
    <w:unhideWhenUsed/>
    <w:qFormat/>
    <w:rsid w:val="005F4006"/>
    <w:pPr>
      <w:numPr>
        <w:ilvl w:val="3"/>
      </w:numPr>
      <w:outlineLvl w:val="3"/>
    </w:pPr>
    <w:rPr>
      <w:i/>
      <w:caps w:val="0"/>
      <w:sz w:val="22"/>
      <w:szCs w:val="28"/>
    </w:rPr>
  </w:style>
  <w:style w:type="paragraph" w:styleId="Balk5">
    <w:name w:val="heading 5"/>
    <w:basedOn w:val="Balk4"/>
    <w:next w:val="Normal"/>
    <w:link w:val="Balk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Balk1Char">
    <w:name w:val="Başlık 1 Char"/>
    <w:basedOn w:val="VarsaylanParagrafYazTipi"/>
    <w:link w:val="Balk1"/>
    <w:uiPriority w:val="9"/>
    <w:rsid w:val="00B15198"/>
    <w:rPr>
      <w:rFonts w:cs="Arial"/>
      <w:b/>
      <w:bCs/>
      <w:caps/>
      <w:color w:val="3D5ABF"/>
      <w:spacing w:val="5"/>
      <w:sz w:val="34"/>
      <w:szCs w:val="34"/>
      <w:lang w:val="en-GB"/>
    </w:rPr>
  </w:style>
  <w:style w:type="paragraph" w:styleId="Altyaz">
    <w:name w:val="Subtitle"/>
    <w:basedOn w:val="Normal"/>
    <w:next w:val="Normal"/>
    <w:link w:val="Altyaz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AltyazChar">
    <w:name w:val="Altyazı Char"/>
    <w:basedOn w:val="VarsaylanParagrafYazTipi"/>
    <w:link w:val="Altyaz"/>
    <w:uiPriority w:val="11"/>
    <w:rsid w:val="00B532A7"/>
    <w:rPr>
      <w:color w:val="5A5A5A" w:themeColor="text1" w:themeTint="A5"/>
      <w:spacing w:val="15"/>
      <w:sz w:val="24"/>
      <w:szCs w:val="22"/>
      <w:lang w:val="en-GB"/>
    </w:rPr>
  </w:style>
  <w:style w:type="character" w:customStyle="1" w:styleId="Balk2Char">
    <w:name w:val="Başlık 2 Char"/>
    <w:basedOn w:val="VarsaylanParagrafYazTipi"/>
    <w:link w:val="Balk2"/>
    <w:uiPriority w:val="9"/>
    <w:rsid w:val="00B15198"/>
    <w:rPr>
      <w:rFonts w:cs="Arial"/>
      <w:color w:val="3D5ABF"/>
      <w:spacing w:val="5"/>
      <w:sz w:val="28"/>
      <w:szCs w:val="28"/>
      <w:lang w:val="en-GB"/>
    </w:rPr>
  </w:style>
  <w:style w:type="table" w:customStyle="1" w:styleId="Style1">
    <w:name w:val="Style1"/>
    <w:basedOn w:val="NormalTablo"/>
    <w:uiPriority w:val="99"/>
    <w:rsid w:val="00EE6C68"/>
    <w:rPr>
      <w:rFonts w:ascii="Rockwell" w:eastAsiaTheme="minorEastAsia" w:hAnsi="Rockwell"/>
    </w:rPr>
    <w:tblPr/>
  </w:style>
  <w:style w:type="paragraph" w:styleId="stBilgi">
    <w:name w:val="header"/>
    <w:basedOn w:val="Normal"/>
    <w:link w:val="stBilgiChar"/>
    <w:uiPriority w:val="99"/>
    <w:unhideWhenUsed/>
    <w:rsid w:val="0041648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1648F"/>
    <w:rPr>
      <w:rFonts w:ascii="Calibri" w:eastAsiaTheme="minorEastAsia" w:hAnsi="Calibri"/>
      <w:color w:val="1A1A1A" w:themeColor="background1" w:themeShade="1A"/>
      <w:sz w:val="22"/>
      <w:szCs w:val="20"/>
      <w:lang w:val="en-GB"/>
    </w:rPr>
  </w:style>
  <w:style w:type="paragraph" w:styleId="AltBilgi">
    <w:name w:val="footer"/>
    <w:basedOn w:val="Normal"/>
    <w:link w:val="AltBilgiChar"/>
    <w:uiPriority w:val="99"/>
    <w:unhideWhenUsed/>
    <w:rsid w:val="0041648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1648F"/>
    <w:rPr>
      <w:rFonts w:ascii="Calibri" w:eastAsiaTheme="minorEastAsia" w:hAnsi="Calibri"/>
      <w:color w:val="1A1A1A" w:themeColor="background1" w:themeShade="1A"/>
      <w:sz w:val="22"/>
      <w:szCs w:val="20"/>
      <w:lang w:val="en-GB"/>
    </w:rPr>
  </w:style>
  <w:style w:type="character" w:styleId="SayfaNumaras">
    <w:name w:val="page number"/>
    <w:basedOn w:val="VarsaylanParagrafYazTipi"/>
    <w:uiPriority w:val="99"/>
    <w:semiHidden/>
    <w:unhideWhenUsed/>
    <w:rsid w:val="00B64B1E"/>
    <w:rPr>
      <w:lang w:val="en-GB"/>
    </w:rPr>
  </w:style>
  <w:style w:type="paragraph" w:styleId="AralkYok">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Balk3Char">
    <w:name w:val="Başlık 3 Char"/>
    <w:basedOn w:val="VarsaylanParagrafYazTipi"/>
    <w:link w:val="Balk3"/>
    <w:uiPriority w:val="9"/>
    <w:rsid w:val="00B15198"/>
    <w:rPr>
      <w:rFonts w:eastAsiaTheme="minorEastAsia" w:cs="Arial"/>
      <w:bCs/>
      <w:caps/>
      <w:spacing w:val="5"/>
      <w:sz w:val="24"/>
      <w:szCs w:val="24"/>
      <w:lang w:val="en-GB"/>
    </w:rPr>
  </w:style>
  <w:style w:type="paragraph" w:styleId="KonuBal">
    <w:name w:val="Title"/>
    <w:basedOn w:val="Normal"/>
    <w:next w:val="Normal"/>
    <w:link w:val="KonuBal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KonuBalChar">
    <w:name w:val="Konu Başlığı Char"/>
    <w:basedOn w:val="VarsaylanParagrafYazTipi"/>
    <w:link w:val="KonuBal"/>
    <w:uiPriority w:val="10"/>
    <w:rsid w:val="00324DF6"/>
    <w:rPr>
      <w:rFonts w:ascii="Arial" w:eastAsiaTheme="majorEastAsia" w:hAnsi="Arial" w:cstheme="majorBidi"/>
      <w:spacing w:val="-10"/>
      <w:kern w:val="28"/>
      <w:sz w:val="56"/>
      <w:szCs w:val="56"/>
      <w:lang w:val="en-GB"/>
    </w:rPr>
  </w:style>
  <w:style w:type="character" w:customStyle="1" w:styleId="Balk4Char">
    <w:name w:val="Başlık 4 Char"/>
    <w:basedOn w:val="VarsaylanParagrafYazTipi"/>
    <w:link w:val="Balk4"/>
    <w:uiPriority w:val="9"/>
    <w:rsid w:val="00B15198"/>
    <w:rPr>
      <w:rFonts w:eastAsiaTheme="minorEastAsia" w:cs="Arial"/>
      <w:bCs/>
      <w:i/>
      <w:spacing w:val="5"/>
      <w:sz w:val="22"/>
      <w:szCs w:val="28"/>
      <w:lang w:val="en-GB"/>
    </w:rPr>
  </w:style>
  <w:style w:type="character" w:customStyle="1" w:styleId="Balk5Char">
    <w:name w:val="Başlık 5 Char"/>
    <w:basedOn w:val="VarsaylanParagrafYazTipi"/>
    <w:link w:val="Balk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GlAlnt">
    <w:name w:val="Intense Quote"/>
    <w:aliases w:val="Quote"/>
    <w:basedOn w:val="Normal"/>
    <w:next w:val="Normal"/>
    <w:link w:val="GlAlnt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GlAlntChar">
    <w:name w:val="Güçlü Alıntı Char"/>
    <w:aliases w:val="Quote Char"/>
    <w:basedOn w:val="VarsaylanParagrafYazTipi"/>
    <w:link w:val="GlAlnt"/>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Kpr">
    <w:name w:val="Hyperlink"/>
    <w:basedOn w:val="VarsaylanParagrafYazTipi"/>
    <w:uiPriority w:val="99"/>
    <w:unhideWhenUsed/>
    <w:qFormat/>
    <w:rsid w:val="00E4345B"/>
    <w:rPr>
      <w:color w:val="263264" w:themeColor="accent1"/>
      <w:u w:val="single"/>
      <w:lang w:val="en-GB"/>
    </w:rPr>
  </w:style>
  <w:style w:type="character" w:styleId="YerTutucuMetni">
    <w:name w:val="Placeholder Text"/>
    <w:basedOn w:val="VarsaylanParagrafYazTipi"/>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Tarih">
    <w:name w:val="Date"/>
    <w:basedOn w:val="Normal"/>
    <w:next w:val="Normal"/>
    <w:link w:val="Tarih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TarihChar">
    <w:name w:val="Tarih Char"/>
    <w:basedOn w:val="VarsaylanParagrafYazTipi"/>
    <w:link w:val="Tarih"/>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eParagraf">
    <w:name w:val="List Paragraph"/>
    <w:aliases w:val="Nad,Odstavec_muj,FooterText,Paragraphe de liste1,List Paragraph (bulleted list),Bullet 1 List,Dot pt,F5 List Paragraph,List Paragraph1,No Spacing1,List Paragraph Char Char Char,Indicator Text,Numbered Para 1,L,Ha"/>
    <w:basedOn w:val="Normal"/>
    <w:link w:val="ListeParagraf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1">
    <w:name w:val="toc 1"/>
    <w:basedOn w:val="Normal"/>
    <w:next w:val="Normal"/>
    <w:autoRedefine/>
    <w:uiPriority w:val="39"/>
    <w:unhideWhenUsed/>
    <w:rsid w:val="00B532A7"/>
    <w:pPr>
      <w:spacing w:before="120" w:after="120"/>
      <w:jc w:val="left"/>
    </w:pPr>
    <w:rPr>
      <w:bCs/>
      <w:sz w:val="24"/>
      <w:szCs w:val="24"/>
    </w:rPr>
  </w:style>
  <w:style w:type="paragraph" w:styleId="T2">
    <w:name w:val="toc 2"/>
    <w:basedOn w:val="Normal"/>
    <w:next w:val="Normal"/>
    <w:autoRedefine/>
    <w:uiPriority w:val="39"/>
    <w:unhideWhenUsed/>
    <w:rsid w:val="00B532A7"/>
    <w:pPr>
      <w:spacing w:after="0"/>
      <w:ind w:left="181"/>
      <w:jc w:val="left"/>
    </w:pPr>
    <w:rPr>
      <w:bCs/>
      <w:szCs w:val="22"/>
    </w:rPr>
  </w:style>
  <w:style w:type="paragraph" w:styleId="T3">
    <w:name w:val="toc 3"/>
    <w:basedOn w:val="T2"/>
    <w:next w:val="Normal"/>
    <w:autoRedefine/>
    <w:uiPriority w:val="39"/>
    <w:unhideWhenUsed/>
    <w:rsid w:val="00B532A7"/>
    <w:pPr>
      <w:tabs>
        <w:tab w:val="right" w:leader="dot" w:pos="9054"/>
      </w:tabs>
      <w:ind w:left="360"/>
    </w:pPr>
    <w:rPr>
      <w:rFonts w:cs="Arial"/>
      <w:noProof/>
      <w:sz w:val="22"/>
    </w:rPr>
  </w:style>
  <w:style w:type="paragraph" w:styleId="T4">
    <w:name w:val="toc 4"/>
    <w:basedOn w:val="Normal"/>
    <w:next w:val="Normal"/>
    <w:autoRedefine/>
    <w:uiPriority w:val="39"/>
    <w:unhideWhenUsed/>
    <w:rsid w:val="00F23AC3"/>
    <w:pPr>
      <w:spacing w:after="0"/>
      <w:ind w:left="540"/>
      <w:jc w:val="left"/>
    </w:pPr>
    <w:rPr>
      <w:rFonts w:asciiTheme="minorHAnsi" w:hAnsiTheme="minorHAnsi"/>
    </w:rPr>
  </w:style>
  <w:style w:type="paragraph" w:styleId="T5">
    <w:name w:val="toc 5"/>
    <w:basedOn w:val="Normal"/>
    <w:next w:val="Normal"/>
    <w:autoRedefine/>
    <w:uiPriority w:val="39"/>
    <w:unhideWhenUsed/>
    <w:rsid w:val="00F23AC3"/>
    <w:pPr>
      <w:spacing w:after="0"/>
      <w:ind w:left="720"/>
      <w:jc w:val="left"/>
    </w:pPr>
    <w:rPr>
      <w:rFonts w:asciiTheme="minorHAnsi" w:hAnsiTheme="minorHAnsi"/>
    </w:rPr>
  </w:style>
  <w:style w:type="paragraph" w:styleId="T6">
    <w:name w:val="toc 6"/>
    <w:basedOn w:val="Normal"/>
    <w:next w:val="Normal"/>
    <w:autoRedefine/>
    <w:uiPriority w:val="39"/>
    <w:unhideWhenUsed/>
    <w:rsid w:val="00F23AC3"/>
    <w:pPr>
      <w:spacing w:after="0"/>
      <w:ind w:left="900"/>
      <w:jc w:val="left"/>
    </w:pPr>
    <w:rPr>
      <w:rFonts w:asciiTheme="minorHAnsi" w:hAnsiTheme="minorHAnsi"/>
    </w:rPr>
  </w:style>
  <w:style w:type="paragraph" w:styleId="T7">
    <w:name w:val="toc 7"/>
    <w:basedOn w:val="Normal"/>
    <w:next w:val="Normal"/>
    <w:autoRedefine/>
    <w:uiPriority w:val="39"/>
    <w:unhideWhenUsed/>
    <w:rsid w:val="00F23AC3"/>
    <w:pPr>
      <w:spacing w:after="0"/>
      <w:ind w:left="1080"/>
      <w:jc w:val="left"/>
    </w:pPr>
    <w:rPr>
      <w:rFonts w:asciiTheme="minorHAnsi" w:hAnsiTheme="minorHAnsi"/>
    </w:rPr>
  </w:style>
  <w:style w:type="paragraph" w:styleId="T8">
    <w:name w:val="toc 8"/>
    <w:basedOn w:val="Normal"/>
    <w:next w:val="Normal"/>
    <w:autoRedefine/>
    <w:uiPriority w:val="39"/>
    <w:unhideWhenUsed/>
    <w:rsid w:val="00F23AC3"/>
    <w:pPr>
      <w:spacing w:after="0"/>
      <w:ind w:left="1260"/>
      <w:jc w:val="left"/>
    </w:pPr>
    <w:rPr>
      <w:rFonts w:asciiTheme="minorHAnsi" w:hAnsiTheme="minorHAnsi"/>
    </w:rPr>
  </w:style>
  <w:style w:type="paragraph" w:styleId="T9">
    <w:name w:val="toc 9"/>
    <w:basedOn w:val="Normal"/>
    <w:next w:val="Normal"/>
    <w:autoRedefine/>
    <w:uiPriority w:val="39"/>
    <w:unhideWhenUsed/>
    <w:rsid w:val="00F23AC3"/>
    <w:pPr>
      <w:spacing w:after="0"/>
      <w:ind w:left="1440"/>
      <w:jc w:val="left"/>
    </w:pPr>
    <w:rPr>
      <w:rFonts w:asciiTheme="minorHAnsi" w:hAnsiTheme="minorHAnsi"/>
    </w:rPr>
  </w:style>
  <w:style w:type="paragraph" w:styleId="TBal">
    <w:name w:val="TOC Heading"/>
    <w:basedOn w:val="Balk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DipnotMetni">
    <w:name w:val="footnote text"/>
    <w:basedOn w:val="Normal"/>
    <w:link w:val="DipnotMetniChar"/>
    <w:uiPriority w:val="99"/>
    <w:unhideWhenUsed/>
    <w:rsid w:val="00B532A7"/>
    <w:pPr>
      <w:spacing w:after="0" w:line="240" w:lineRule="auto"/>
    </w:pPr>
    <w:rPr>
      <w:sz w:val="16"/>
      <w:szCs w:val="16"/>
    </w:rPr>
  </w:style>
  <w:style w:type="character" w:customStyle="1" w:styleId="DipnotMetniChar">
    <w:name w:val="Dipnot Metni Char"/>
    <w:basedOn w:val="VarsaylanParagrafYazTipi"/>
    <w:link w:val="DipnotMetni"/>
    <w:uiPriority w:val="99"/>
    <w:rsid w:val="00B532A7"/>
    <w:rPr>
      <w:sz w:val="16"/>
      <w:szCs w:val="16"/>
      <w:lang w:val="en-GB"/>
    </w:rPr>
  </w:style>
  <w:style w:type="character" w:styleId="DipnotBavurusu">
    <w:name w:val="footnote reference"/>
    <w:basedOn w:val="VarsaylanParagrafYazTipi"/>
    <w:uiPriority w:val="99"/>
    <w:unhideWhenUsed/>
    <w:rsid w:val="00DB315D"/>
    <w:rPr>
      <w:vertAlign w:val="superscript"/>
      <w:lang w:val="en-GB"/>
    </w:rPr>
  </w:style>
  <w:style w:type="character" w:styleId="Gl">
    <w:name w:val="Strong"/>
    <w:basedOn w:val="VarsaylanParagrafYazTipi"/>
    <w:uiPriority w:val="22"/>
    <w:qFormat/>
    <w:rsid w:val="000D0EC9"/>
    <w:rPr>
      <w:b/>
      <w:bCs/>
      <w:lang w:val="en-GB"/>
    </w:rPr>
  </w:style>
  <w:style w:type="character" w:styleId="HTMLrnek">
    <w:name w:val="HTML Sample"/>
    <w:basedOn w:val="VarsaylanParagrafYazTipi"/>
    <w:uiPriority w:val="99"/>
    <w:semiHidden/>
    <w:unhideWhenUsed/>
    <w:rsid w:val="000D0EC9"/>
    <w:rPr>
      <w:rFonts w:ascii="Arial" w:hAnsi="Arial"/>
      <w:sz w:val="24"/>
      <w:szCs w:val="24"/>
      <w:lang w:val="en-GB"/>
    </w:rPr>
  </w:style>
  <w:style w:type="character" w:styleId="HTMLKodu">
    <w:name w:val="HTML Code"/>
    <w:basedOn w:val="VarsaylanParagrafYazTipi"/>
    <w:uiPriority w:val="99"/>
    <w:semiHidden/>
    <w:unhideWhenUsed/>
    <w:rsid w:val="000D0EC9"/>
    <w:rPr>
      <w:rFonts w:ascii="Arial" w:hAnsi="Arial"/>
      <w:sz w:val="20"/>
      <w:szCs w:val="20"/>
      <w:lang w:val="en-GB"/>
    </w:rPr>
  </w:style>
  <w:style w:type="paragraph" w:customStyle="1" w:styleId="Numberedlist">
    <w:name w:val="Numbered list"/>
    <w:basedOn w:val="ListeParagraf"/>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oKlavuzu">
    <w:name w:val="Table Grid"/>
    <w:basedOn w:val="NormalTablo"/>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GvdeMetni"/>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GvdeMetni">
    <w:name w:val="Body Text"/>
    <w:basedOn w:val="Normal"/>
    <w:link w:val="GvdeMetniChar"/>
    <w:uiPriority w:val="99"/>
    <w:semiHidden/>
    <w:unhideWhenUsed/>
    <w:rsid w:val="006338E8"/>
    <w:pPr>
      <w:spacing w:after="120"/>
    </w:pPr>
  </w:style>
  <w:style w:type="character" w:customStyle="1" w:styleId="GvdeMetniChar">
    <w:name w:val="Gövde Metni Char"/>
    <w:basedOn w:val="VarsaylanParagrafYazTipi"/>
    <w:link w:val="GvdeMetni"/>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eParagraf"/>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zmlenmeyenBahsetme">
    <w:name w:val="Unresolved Mention"/>
    <w:basedOn w:val="VarsaylanParagrafYazTipi"/>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KonuBal"/>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eParagrafChar">
    <w:name w:val="Liste Paragraf Char"/>
    <w:aliases w:val="Nad Char,Odstavec_muj Char,FooterText Char,Paragraphe de liste1 Char,List Paragraph (bulleted list) Char,Bullet 1 List Char,Dot pt Char,F5 List Paragraph Char,List Paragraph1 Char,No Spacing1 Char,List Paragraph Char Char Char Char"/>
    <w:basedOn w:val="VarsaylanParagrafYazTipi"/>
    <w:link w:val="ListeParagraf"/>
    <w:uiPriority w:val="34"/>
    <w:qFormat/>
    <w:rsid w:val="004E1663"/>
    <w:rPr>
      <w:lang w:val="en-GB"/>
    </w:rPr>
  </w:style>
  <w:style w:type="paragraph" w:styleId="NormalWeb">
    <w:name w:val="Normal (Web)"/>
    <w:basedOn w:val="Normal"/>
    <w:uiPriority w:val="99"/>
    <w:semiHidden/>
    <w:unhideWhenUsed/>
    <w:rsid w:val="0009649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75</TotalTime>
  <Pages>3</Pages>
  <Words>937</Words>
  <Characters>5345</Characters>
  <Application>Microsoft Office Word</Application>
  <DocSecurity>0</DocSecurity>
  <Lines>44</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ismail toygar</cp:lastModifiedBy>
  <cp:revision>41</cp:revision>
  <cp:lastPrinted>2016-11-07T11:47:00Z</cp:lastPrinted>
  <dcterms:created xsi:type="dcterms:W3CDTF">2021-12-10T11:47:00Z</dcterms:created>
  <dcterms:modified xsi:type="dcterms:W3CDTF">2025-10-31T07:50:00Z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