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9CF7" w14:textId="35E278B5" w:rsidR="0010418A" w:rsidRDefault="00000000">
      <w:pPr>
        <w:spacing w:after="80" w:line="240" w:lineRule="auto"/>
        <w:jc w:val="both"/>
        <w:rPr>
          <w:rFonts w:ascii="Times New Roman" w:eastAsia="Times New Roman" w:hAnsi="Times New Roman" w:cs="Times New Roman"/>
          <w:b/>
          <w:bCs/>
          <w:color w:val="00A933"/>
          <w:kern w:val="0"/>
          <w:lang w:val="en-US"/>
          <w14:ligatures w14:val="none"/>
        </w:rPr>
      </w:pPr>
      <w:r>
        <w:rPr>
          <w:rFonts w:ascii="Times New Roman" w:eastAsia="Times New Roman" w:hAnsi="Times New Roman" w:cs="Times New Roman"/>
          <w:b/>
          <w:bCs/>
          <w:noProof/>
          <w:color w:val="00A933"/>
          <w:kern w:val="0"/>
          <w:lang w:val="en-US"/>
          <w14:ligatures w14:val="none"/>
        </w:rPr>
        <mc:AlternateContent>
          <mc:Choice Requires="wps">
            <w:drawing>
              <wp:anchor distT="0" distB="0" distL="0" distR="0" simplePos="0" relativeHeight="2" behindDoc="0" locked="0" layoutInCell="1" allowOverlap="1" wp14:anchorId="012EF8E8" wp14:editId="020F850C">
                <wp:simplePos x="0" y="0"/>
                <wp:positionH relativeFrom="column">
                  <wp:posOffset>-64770</wp:posOffset>
                </wp:positionH>
                <wp:positionV relativeFrom="paragraph">
                  <wp:posOffset>-349885</wp:posOffset>
                </wp:positionV>
                <wp:extent cx="1122680" cy="281305"/>
                <wp:effectExtent l="0" t="0" r="0" b="0"/>
                <wp:wrapNone/>
                <wp:docPr id="1" name="Image with transparency 1"/>
                <wp:cNvGraphicFramePr/>
                <a:graphic xmlns:a="http://schemas.openxmlformats.org/drawingml/2006/main">
                  <a:graphicData uri="http://schemas.openxmlformats.org/drawingml/2006/picture">
                    <pic:pic xmlns:pic="http://schemas.openxmlformats.org/drawingml/2006/picture">
                      <pic:nvPicPr>
                        <pic:cNvPr id="2" name="Image with transparency 1"/>
                        <pic:cNvPicPr/>
                      </pic:nvPicPr>
                      <pic:blipFill>
                        <a:blip r:embed="rId7"/>
                        <a:stretch/>
                      </pic:blipFill>
                      <pic:spPr>
                        <a:xfrm>
                          <a:off x="0" y="0"/>
                          <a:ext cx="1122840" cy="281160"/>
                        </a:xfrm>
                        <a:prstGeom prst="rect">
                          <a:avLst/>
                        </a:prstGeom>
                        <a:noFill/>
                        <a:ln w="0">
                          <a:noFill/>
                        </a:ln>
                      </pic:spPr>
                    </pic:pic>
                  </a:graphicData>
                </a:graphic>
              </wp:anchor>
            </w:drawing>
          </mc:Choice>
          <mc:Fallback xmlns:pic="http://schemas.openxmlformats.org/drawingml/2006/pictur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margin-left:-5.1pt;margin-top:-27.55pt;width:88.35pt;height:22.1pt;mso-wrap-style:none;v-text-anchor:middle" type="_x0000_t75">
                <v:imagedata r:id="rId8" o:detectmouseclick="t"/>
                <v:stroke color="#3465a4" joinstyle="round" endcap="flat"/>
                <w10:wrap type="none"/>
              </v:shape>
            </w:pict>
          </mc:Fallback>
        </mc:AlternateContent>
      </w:r>
    </w:p>
    <w:p w14:paraId="0E4FA585" w14:textId="77777777" w:rsidR="0010418A" w:rsidRDefault="00000000">
      <w:pPr>
        <w:spacing w:after="80" w:line="276" w:lineRule="auto"/>
        <w:jc w:val="both"/>
        <w:rPr>
          <w:rFonts w:ascii="Times New Roman" w:eastAsia="Times New Roman" w:hAnsi="Times New Roman" w:cs="Times New Roman"/>
          <w:b/>
          <w:bCs/>
          <w:color w:val="77BC65"/>
          <w:kern w:val="0"/>
          <w:lang w:val="en-US"/>
          <w14:ligatures w14:val="none"/>
        </w:rPr>
      </w:pPr>
      <w:r>
        <w:rPr>
          <w:rFonts w:ascii="Times New Roman" w:eastAsia="Times New Roman" w:hAnsi="Times New Roman" w:cs="Times New Roman"/>
          <w:b/>
          <w:bCs/>
          <w:color w:val="77BC65"/>
          <w:kern w:val="0"/>
          <w:lang w:val="en-US"/>
          <w14:ligatures w14:val="none"/>
        </w:rPr>
        <w:t>WHAT?</w:t>
      </w:r>
    </w:p>
    <w:p w14:paraId="208DA779" w14:textId="77777777" w:rsidR="0010418A" w:rsidRDefault="00000000">
      <w:pPr>
        <w:spacing w:after="80" w:line="276" w:lineRule="auto"/>
        <w:jc w:val="both"/>
        <w:rPr>
          <w:rFonts w:ascii="Times New Roman" w:hAnsi="Times New Roman"/>
        </w:rPr>
      </w:pPr>
      <w:r>
        <w:rPr>
          <w:rFonts w:ascii="Times New Roman" w:eastAsia="Times New Roman" w:hAnsi="Times New Roman" w:cs="Times New Roman"/>
          <w:b/>
          <w:bCs/>
          <w:color w:val="000000"/>
          <w:kern w:val="0"/>
          <w:lang w:val="en-US"/>
          <w14:ligatures w14:val="none"/>
        </w:rPr>
        <w:t>A webinar on “Vulnerability in Climate Mental Health”</w:t>
      </w:r>
    </w:p>
    <w:p w14:paraId="755EA3B9" w14:textId="77777777" w:rsidR="0010418A" w:rsidRDefault="00000000">
      <w:pPr>
        <w:spacing w:line="276" w:lineRule="auto"/>
        <w:jc w:val="both"/>
        <w:rPr>
          <w:rFonts w:ascii="Times New Roman" w:hAnsi="Times New Roman"/>
          <w:lang w:val="en-US"/>
        </w:rPr>
      </w:pPr>
      <w:r w:rsidRPr="007F494D">
        <w:rPr>
          <w:rFonts w:ascii="Times New Roman" w:hAnsi="Times New Roman"/>
          <w:lang w:val="en-US"/>
        </w:rPr>
        <w:t>The webinar will address the topics at the critical conjuncture on climate change, mental health, and social equity through an intersectional lens (Co et al., 2013). Moving beyond general frameworks, the webinar will detail the issue on how intersecting identities (such as minority, immigration status and socioeconomic position) increase the vulnerability to climate-related psychological distress. Furthermore, it will explore how intersectoral public health strategies can foster resilience and promote equitable access to health care and resources in disadvantaged societies.</w:t>
      </w:r>
    </w:p>
    <w:p w14:paraId="286971F5" w14:textId="77777777" w:rsidR="007F494D" w:rsidRPr="007F494D" w:rsidRDefault="007F494D">
      <w:pPr>
        <w:spacing w:line="276" w:lineRule="auto"/>
        <w:jc w:val="both"/>
        <w:rPr>
          <w:rFonts w:ascii="Times New Roman" w:hAnsi="Times New Roman"/>
          <w:lang w:val="en-US"/>
        </w:rPr>
      </w:pPr>
    </w:p>
    <w:p w14:paraId="4ABBD715" w14:textId="77777777" w:rsidR="0010418A" w:rsidRDefault="00000000">
      <w:pPr>
        <w:spacing w:after="80" w:line="276" w:lineRule="auto"/>
        <w:jc w:val="both"/>
        <w:rPr>
          <w:rFonts w:ascii="Times New Roman" w:eastAsia="Times New Roman" w:hAnsi="Times New Roman" w:cs="Times New Roman"/>
          <w:b/>
          <w:bCs/>
          <w:color w:val="2A6099"/>
          <w:kern w:val="0"/>
          <w:lang w:val="en-US"/>
          <w14:ligatures w14:val="none"/>
        </w:rPr>
      </w:pPr>
      <w:r>
        <w:rPr>
          <w:rFonts w:ascii="Times New Roman" w:eastAsia="Times New Roman" w:hAnsi="Times New Roman" w:cs="Times New Roman"/>
          <w:b/>
          <w:bCs/>
          <w:color w:val="2A6099"/>
          <w:kern w:val="0"/>
          <w:lang w:val="en-US"/>
          <w14:ligatures w14:val="none"/>
        </w:rPr>
        <w:t>WHY?</w:t>
      </w:r>
    </w:p>
    <w:p w14:paraId="2337299B" w14:textId="1C25801B" w:rsidR="0010418A" w:rsidRDefault="00000000">
      <w:pPr>
        <w:spacing w:after="80" w:line="276" w:lineRule="auto"/>
        <w:jc w:val="both"/>
        <w:rPr>
          <w:rFonts w:ascii="Times New Roman" w:hAnsi="Times New Roman"/>
        </w:rPr>
      </w:pPr>
      <w:r>
        <w:rPr>
          <w:rFonts w:ascii="Times New Roman" w:eastAsia="Times New Roman" w:hAnsi="Times New Roman" w:cs="Times New Roman"/>
          <w:color w:val="000000"/>
          <w:kern w:val="0"/>
          <w:lang w:val="en-US"/>
          <w14:ligatures w14:val="none"/>
        </w:rPr>
        <w:t>To take action within the Global Public Health Week (GPHW) by the World Federation of Public Health Associations’ (WFPHA), and to collaborate with “Climate Change Impacts on Mental Health (EU COST CliMent Action). GPHW (</w:t>
      </w:r>
      <w:hyperlink r:id="rId9">
        <w:r w:rsidR="0010418A" w:rsidRPr="00414679">
          <w:rPr>
            <w:rStyle w:val="Hyperlink"/>
            <w:rFonts w:ascii="Times New Roman" w:eastAsia="Times New Roman" w:hAnsi="Times New Roman" w:cs="Times New Roman"/>
            <w:color w:val="000000"/>
            <w:kern w:val="0"/>
            <w:lang w:val="en-US"/>
            <w14:ligatures w14:val="none"/>
          </w:rPr>
          <w:t>https://www.wfpha.org/global-public-health-week/</w:t>
        </w:r>
      </w:hyperlink>
      <w:r w:rsidRPr="00414679">
        <w:rPr>
          <w:rFonts w:ascii="Times New Roman" w:eastAsia="Times New Roman" w:hAnsi="Times New Roman" w:cs="Times New Roman"/>
          <w:color w:val="000000"/>
          <w:kern w:val="0"/>
          <w:lang w:val="en-US"/>
          <w14:ligatures w14:val="none"/>
        </w:rPr>
        <w:t>)</w:t>
      </w:r>
      <w:r>
        <w:rPr>
          <w:rFonts w:ascii="Times New Roman" w:eastAsia="Times New Roman" w:hAnsi="Times New Roman" w:cs="Times New Roman"/>
          <w:color w:val="000000"/>
          <w:kern w:val="0"/>
          <w:lang w:val="en-US"/>
          <w14:ligatures w14:val="none"/>
        </w:rPr>
        <w:t xml:space="preserve"> is an annual global advocacy initiative, mobilizing public health actors worldwide to advance equity, strengthen systems, and champion public health as a global public good. </w:t>
      </w:r>
      <w:r w:rsidR="00086120" w:rsidRPr="00086120">
        <w:rPr>
          <w:rFonts w:ascii="Times New Roman" w:eastAsia="Times New Roman" w:hAnsi="Times New Roman" w:cs="Times New Roman"/>
          <w:color w:val="000000"/>
          <w:kern w:val="0"/>
          <w:lang w:val="en-US"/>
          <w14:ligatures w14:val="none"/>
        </w:rPr>
        <w:t>Under this year’s theme, “Peace for Health, Health for Peace”, the sub-theme “One Planet, One Health, One Peace” highlights the critical interconnections between environmental health, climate change, and equitable access to resources.</w:t>
      </w:r>
      <w:r w:rsidR="00086120">
        <w:rPr>
          <w:rFonts w:ascii="Times New Roman" w:eastAsia="Times New Roman" w:hAnsi="Times New Roman" w:cs="Times New Roman"/>
          <w:color w:val="000000"/>
          <w:kern w:val="0"/>
          <w:lang w:val="en-US"/>
          <w14:ligatures w14:val="none"/>
        </w:rPr>
        <w:t xml:space="preserve"> </w:t>
      </w:r>
      <w:r>
        <w:rPr>
          <w:rFonts w:ascii="Times New Roman" w:eastAsia="Times New Roman" w:hAnsi="Times New Roman" w:cs="Times New Roman"/>
          <w:color w:val="000000"/>
          <w:kern w:val="0"/>
          <w:lang w:val="en-US"/>
          <w14:ligatures w14:val="none"/>
        </w:rPr>
        <w:t>On the other hand, harnessing the wisdom of the large consortium of experts within the COST CliMent Action (</w:t>
      </w:r>
      <w:hyperlink r:id="rId10">
        <w:r w:rsidR="0010418A">
          <w:rPr>
            <w:rStyle w:val="Hyperlink"/>
            <w:rFonts w:ascii="Times New Roman" w:eastAsia="Times New Roman" w:hAnsi="Times New Roman" w:cs="Times New Roman"/>
            <w:color w:val="000000"/>
            <w:kern w:val="0"/>
            <w:lang w:val="en-US"/>
            <w14:ligatures w14:val="none"/>
          </w:rPr>
          <w:t>https://cost-climent.eu/</w:t>
        </w:r>
      </w:hyperlink>
      <w:r>
        <w:rPr>
          <w:rFonts w:ascii="Times New Roman" w:eastAsia="Times New Roman" w:hAnsi="Times New Roman" w:cs="Times New Roman"/>
          <w:color w:val="000000"/>
          <w:kern w:val="0"/>
          <w:lang w:val="en-US"/>
          <w14:ligatures w14:val="none"/>
        </w:rPr>
        <w:t>), the webinar will aim to provide state-of-the-art on presented topics.</w:t>
      </w:r>
    </w:p>
    <w:p w14:paraId="369A9D9D" w14:textId="77777777" w:rsidR="007F494D" w:rsidRDefault="007F494D">
      <w:pPr>
        <w:spacing w:after="80" w:line="276" w:lineRule="auto"/>
        <w:jc w:val="both"/>
        <w:rPr>
          <w:rFonts w:ascii="Times New Roman" w:eastAsia="Times New Roman" w:hAnsi="Times New Roman" w:cs="Times New Roman"/>
          <w:b/>
          <w:bCs/>
          <w:color w:val="77BC65"/>
          <w:kern w:val="0"/>
          <w:lang w:val="en-US"/>
          <w14:ligatures w14:val="none"/>
        </w:rPr>
      </w:pPr>
    </w:p>
    <w:p w14:paraId="45BA7B02" w14:textId="704588B6" w:rsidR="0010418A" w:rsidRPr="00414679" w:rsidRDefault="00000000">
      <w:pPr>
        <w:spacing w:after="80" w:line="276" w:lineRule="auto"/>
        <w:jc w:val="both"/>
        <w:rPr>
          <w:rFonts w:ascii="Times New Roman" w:eastAsia="Times New Roman" w:hAnsi="Times New Roman" w:cs="Times New Roman"/>
          <w:b/>
          <w:bCs/>
          <w:color w:val="77BC65"/>
          <w:kern w:val="0"/>
          <w:lang w:val="en-US"/>
          <w14:ligatures w14:val="none"/>
        </w:rPr>
      </w:pPr>
      <w:r w:rsidRPr="00414679">
        <w:rPr>
          <w:rFonts w:ascii="Times New Roman" w:eastAsia="Times New Roman" w:hAnsi="Times New Roman" w:cs="Times New Roman"/>
          <w:b/>
          <w:bCs/>
          <w:color w:val="77BC65"/>
          <w:kern w:val="0"/>
          <w:lang w:val="en-US"/>
          <w14:ligatures w14:val="none"/>
        </w:rPr>
        <w:t>WHERE?</w:t>
      </w:r>
    </w:p>
    <w:p w14:paraId="1E0DC8E8" w14:textId="01D1B7A5" w:rsidR="0010418A" w:rsidRPr="00414679" w:rsidRDefault="00000000">
      <w:pPr>
        <w:spacing w:after="80" w:line="276" w:lineRule="auto"/>
        <w:jc w:val="both"/>
        <w:rPr>
          <w:rFonts w:ascii="Times New Roman" w:eastAsia="Times New Roman" w:hAnsi="Times New Roman" w:cs="Times New Roman"/>
          <w:b/>
          <w:bCs/>
          <w:color w:val="000000"/>
          <w:kern w:val="0"/>
          <w:lang w:val="en-US"/>
          <w14:ligatures w14:val="none"/>
        </w:rPr>
      </w:pPr>
      <w:r w:rsidRPr="00414679">
        <w:rPr>
          <w:rFonts w:ascii="Times New Roman" w:eastAsia="Times New Roman" w:hAnsi="Times New Roman" w:cs="Times New Roman"/>
          <w:b/>
          <w:bCs/>
          <w:color w:val="000000"/>
          <w:kern w:val="0"/>
          <w:lang w:val="en-US"/>
          <w14:ligatures w14:val="none"/>
        </w:rPr>
        <w:t xml:space="preserve">The </w:t>
      </w:r>
      <w:r w:rsidR="007F494D" w:rsidRPr="00414679">
        <w:rPr>
          <w:rFonts w:ascii="Times New Roman" w:eastAsia="Times New Roman" w:hAnsi="Times New Roman" w:cs="Times New Roman"/>
          <w:b/>
          <w:bCs/>
          <w:color w:val="000000"/>
          <w:kern w:val="0"/>
          <w:lang w:val="en-US"/>
          <w14:ligatures w14:val="none"/>
        </w:rPr>
        <w:t>webinar</w:t>
      </w:r>
      <w:r w:rsidRPr="00414679">
        <w:rPr>
          <w:rFonts w:ascii="Times New Roman" w:eastAsia="Times New Roman" w:hAnsi="Times New Roman" w:cs="Times New Roman"/>
          <w:b/>
          <w:bCs/>
          <w:color w:val="000000"/>
          <w:kern w:val="0"/>
          <w:lang w:val="en-US"/>
          <w14:ligatures w14:val="none"/>
        </w:rPr>
        <w:t xml:space="preserve"> will be held online. </w:t>
      </w:r>
      <w:r w:rsidRPr="00414679">
        <w:rPr>
          <w:rFonts w:ascii="Times New Roman" w:eastAsia="Times New Roman" w:hAnsi="Times New Roman" w:cs="Times New Roman"/>
          <w:color w:val="000000"/>
          <w:kern w:val="0"/>
          <w:lang w:val="en-US"/>
          <w14:ligatures w14:val="none"/>
        </w:rPr>
        <w:t>The link for the event as available as follows:</w:t>
      </w:r>
    </w:p>
    <w:p w14:paraId="05106134" w14:textId="0A69C569" w:rsidR="0010418A" w:rsidRDefault="00414679">
      <w:pPr>
        <w:spacing w:after="80" w:line="276" w:lineRule="auto"/>
        <w:jc w:val="both"/>
        <w:rPr>
          <w:rFonts w:ascii="Times New Roman" w:eastAsia="Times New Roman" w:hAnsi="Times New Roman" w:cs="Times New Roman"/>
          <w:b/>
          <w:bCs/>
          <w:color w:val="000000"/>
          <w:kern w:val="0"/>
          <w:lang w:val="en-US"/>
          <w14:ligatures w14:val="none"/>
        </w:rPr>
      </w:pPr>
      <w:hyperlink r:id="rId11" w:history="1">
        <w:r w:rsidRPr="0034000C">
          <w:rPr>
            <w:rStyle w:val="Hyperlink"/>
            <w:rFonts w:ascii="Times New Roman" w:eastAsia="Times New Roman" w:hAnsi="Times New Roman" w:cs="Times New Roman"/>
            <w:b/>
            <w:bCs/>
            <w:kern w:val="0"/>
            <w:lang w:val="en-US"/>
            <w14:ligatures w14:val="none"/>
          </w:rPr>
          <w:t>https://teams.microsoft.com/meet/313806533473993?p=oNQM681kF7xInbVF4E</w:t>
        </w:r>
      </w:hyperlink>
    </w:p>
    <w:p w14:paraId="771365C7" w14:textId="77777777" w:rsidR="00414679" w:rsidRPr="00414679" w:rsidRDefault="00414679">
      <w:pPr>
        <w:spacing w:after="80" w:line="276" w:lineRule="auto"/>
        <w:jc w:val="both"/>
        <w:rPr>
          <w:rFonts w:ascii="Times New Roman" w:eastAsia="Times New Roman" w:hAnsi="Times New Roman" w:cs="Times New Roman"/>
          <w:b/>
          <w:bCs/>
          <w:color w:val="000000"/>
          <w:kern w:val="0"/>
          <w:lang w:val="en-US"/>
          <w14:ligatures w14:val="none"/>
        </w:rPr>
      </w:pPr>
    </w:p>
    <w:p w14:paraId="606DBD2A" w14:textId="77777777" w:rsidR="0010418A" w:rsidRDefault="00000000">
      <w:pPr>
        <w:spacing w:after="80" w:line="276" w:lineRule="auto"/>
        <w:jc w:val="both"/>
        <w:rPr>
          <w:color w:val="2A6099"/>
        </w:rPr>
      </w:pPr>
      <w:r>
        <w:rPr>
          <w:rFonts w:ascii="Times New Roman" w:eastAsia="Times New Roman" w:hAnsi="Times New Roman" w:cs="Times New Roman"/>
          <w:b/>
          <w:bCs/>
          <w:color w:val="2A6099"/>
          <w:kern w:val="0"/>
          <w:lang w:val="en-US"/>
          <w14:ligatures w14:val="none"/>
        </w:rPr>
        <w:t>WHO?</w:t>
      </w:r>
    </w:p>
    <w:p w14:paraId="6CFED3B7" w14:textId="77777777" w:rsidR="0010418A" w:rsidRDefault="00000000">
      <w:pPr>
        <w:spacing w:after="80" w:line="276" w:lineRule="auto"/>
        <w:jc w:val="both"/>
      </w:pPr>
      <w:r w:rsidRPr="00414679">
        <w:rPr>
          <w:rFonts w:ascii="Times New Roman" w:eastAsia="Times New Roman" w:hAnsi="Times New Roman" w:cs="Times New Roman"/>
          <w:b/>
          <w:bCs/>
          <w:color w:val="000000"/>
          <w:kern w:val="0"/>
          <w:lang w:val="en-US"/>
          <w14:ligatures w14:val="none"/>
        </w:rPr>
        <w:t xml:space="preserve">Chairs: </w:t>
      </w:r>
      <w:r w:rsidRPr="00414679">
        <w:rPr>
          <w:rFonts w:ascii="Times New Roman" w:hAnsi="Times New Roman" w:cs="Times New Roman"/>
          <w:lang w:val="en-US"/>
        </w:rPr>
        <w:t xml:space="preserve">Gizem Öztürk &amp; Mert Nedim Mercan </w:t>
      </w:r>
    </w:p>
    <w:p w14:paraId="070CFD0F" w14:textId="77777777" w:rsidR="0010418A" w:rsidRDefault="00000000">
      <w:pPr>
        <w:spacing w:after="80" w:line="276" w:lineRule="auto"/>
        <w:jc w:val="both"/>
      </w:pPr>
      <w:r>
        <w:rPr>
          <w:rFonts w:ascii="Times New Roman" w:eastAsia="Times New Roman" w:hAnsi="Times New Roman" w:cs="Times New Roman"/>
          <w:b/>
          <w:bCs/>
          <w:color w:val="000000"/>
          <w:kern w:val="0"/>
          <w:lang w:val="en-US"/>
          <w14:ligatures w14:val="none"/>
        </w:rPr>
        <w:t>Presenters: Tentative Agenda is presented below</w:t>
      </w:r>
    </w:p>
    <w:tbl>
      <w:tblPr>
        <w:tblStyle w:val="TableGrid"/>
        <w:tblW w:w="9062" w:type="dxa"/>
        <w:tblLayout w:type="fixed"/>
        <w:tblLook w:val="04A0" w:firstRow="1" w:lastRow="0" w:firstColumn="1" w:lastColumn="0" w:noHBand="0" w:noVBand="1"/>
      </w:tblPr>
      <w:tblGrid>
        <w:gridCol w:w="1980"/>
        <w:gridCol w:w="7082"/>
      </w:tblGrid>
      <w:tr w:rsidR="0010418A" w14:paraId="284C22AD" w14:textId="77777777">
        <w:tc>
          <w:tcPr>
            <w:tcW w:w="1980" w:type="dxa"/>
          </w:tcPr>
          <w:p w14:paraId="1854D961" w14:textId="77777777" w:rsidR="0010418A" w:rsidRDefault="00000000">
            <w:pPr>
              <w:spacing w:after="0" w:line="240" w:lineRule="auto"/>
              <w:jc w:val="both"/>
              <w:rPr>
                <w:rFonts w:ascii="Aptos" w:eastAsia="DengXian" w:hAnsi="Aptos"/>
              </w:rPr>
            </w:pPr>
            <w:r>
              <w:rPr>
                <w:rFonts w:ascii="Times New Roman" w:eastAsia="DengXian" w:hAnsi="Times New Roman" w:cs="Times New Roman"/>
                <w:lang w:val="en-US"/>
              </w:rPr>
              <w:t>09.30 - 10.00</w:t>
            </w:r>
          </w:p>
        </w:tc>
        <w:tc>
          <w:tcPr>
            <w:tcW w:w="7082" w:type="dxa"/>
          </w:tcPr>
          <w:p w14:paraId="0A24292C" w14:textId="77777777" w:rsidR="0010418A" w:rsidRDefault="00000000">
            <w:pPr>
              <w:spacing w:after="0" w:line="240" w:lineRule="auto"/>
              <w:jc w:val="both"/>
              <w:rPr>
                <w:rFonts w:ascii="Aptos" w:eastAsia="DengXian" w:hAnsi="Aptos"/>
              </w:rPr>
            </w:pPr>
            <w:r>
              <w:rPr>
                <w:rFonts w:ascii="Times New Roman" w:eastAsia="DengXian" w:hAnsi="Times New Roman" w:cs="Times New Roman"/>
                <w:lang w:val="en-US"/>
              </w:rPr>
              <w:t xml:space="preserve"> Arrival (collection times from reception 09:30, 09:40 and 09:50)</w:t>
            </w:r>
          </w:p>
        </w:tc>
      </w:tr>
      <w:tr w:rsidR="0010418A" w14:paraId="442C8D23" w14:textId="77777777">
        <w:tc>
          <w:tcPr>
            <w:tcW w:w="1980" w:type="dxa"/>
          </w:tcPr>
          <w:p w14:paraId="0BDB0857" w14:textId="77777777" w:rsidR="0010418A" w:rsidRDefault="00000000">
            <w:pPr>
              <w:spacing w:after="0" w:line="240" w:lineRule="auto"/>
              <w:jc w:val="both"/>
              <w:rPr>
                <w:rFonts w:ascii="Aptos" w:eastAsia="DengXian" w:hAnsi="Aptos"/>
              </w:rPr>
            </w:pPr>
            <w:r>
              <w:rPr>
                <w:rFonts w:ascii="Times New Roman" w:eastAsia="DengXian" w:hAnsi="Times New Roman" w:cs="Times New Roman"/>
                <w:lang w:val="en-US"/>
              </w:rPr>
              <w:t>10.00 - 10.10</w:t>
            </w:r>
          </w:p>
        </w:tc>
        <w:tc>
          <w:tcPr>
            <w:tcW w:w="7082" w:type="dxa"/>
          </w:tcPr>
          <w:p w14:paraId="6CDB9BA3" w14:textId="77777777" w:rsidR="0010418A" w:rsidRDefault="00000000">
            <w:pPr>
              <w:spacing w:after="0" w:line="240" w:lineRule="auto"/>
              <w:jc w:val="both"/>
              <w:rPr>
                <w:rFonts w:ascii="Aptos" w:eastAsia="DengXian" w:hAnsi="Aptos"/>
              </w:rPr>
            </w:pPr>
            <w:r>
              <w:rPr>
                <w:rFonts w:ascii="Times New Roman" w:eastAsia="DengXian" w:hAnsi="Times New Roman" w:cs="Times New Roman"/>
                <w:lang w:val="en-US"/>
              </w:rPr>
              <w:t>Welcome and Introduction / Introducing the speakers</w:t>
            </w:r>
          </w:p>
          <w:p w14:paraId="3FEEB899" w14:textId="77777777" w:rsidR="0010418A" w:rsidRDefault="00000000">
            <w:pPr>
              <w:pStyle w:val="ListParagraph"/>
              <w:numPr>
                <w:ilvl w:val="0"/>
                <w:numId w:val="1"/>
              </w:numPr>
              <w:spacing w:after="0" w:line="240" w:lineRule="auto"/>
              <w:jc w:val="both"/>
              <w:rPr>
                <w:rFonts w:ascii="Aptos" w:eastAsia="DengXian" w:hAnsi="Aptos"/>
              </w:rPr>
            </w:pPr>
            <w:r>
              <w:rPr>
                <w:rFonts w:ascii="Times New Roman" w:eastAsia="DengXian" w:hAnsi="Times New Roman" w:cs="Times New Roman"/>
                <w:lang w:val="de-DE"/>
              </w:rPr>
              <w:t>Gizem Öztürk &amp; Mert Nedim Mercan</w:t>
            </w:r>
          </w:p>
        </w:tc>
      </w:tr>
      <w:tr w:rsidR="0010418A" w14:paraId="2C57844F" w14:textId="77777777">
        <w:tc>
          <w:tcPr>
            <w:tcW w:w="1980" w:type="dxa"/>
          </w:tcPr>
          <w:p w14:paraId="7C2F6375" w14:textId="77777777" w:rsidR="0010418A" w:rsidRDefault="00000000">
            <w:pPr>
              <w:spacing w:after="0" w:line="240" w:lineRule="auto"/>
              <w:jc w:val="both"/>
              <w:rPr>
                <w:rFonts w:ascii="Aptos" w:eastAsia="DengXian" w:hAnsi="Aptos"/>
              </w:rPr>
            </w:pPr>
            <w:r>
              <w:rPr>
                <w:rFonts w:ascii="Times New Roman" w:eastAsia="DengXian" w:hAnsi="Times New Roman" w:cs="Times New Roman"/>
                <w:lang w:val="en-US"/>
              </w:rPr>
              <w:t>10.10 - 10.30</w:t>
            </w:r>
          </w:p>
        </w:tc>
        <w:tc>
          <w:tcPr>
            <w:tcW w:w="7082" w:type="dxa"/>
          </w:tcPr>
          <w:p w14:paraId="41078759" w14:textId="77777777" w:rsidR="0010418A" w:rsidRDefault="00000000">
            <w:pPr>
              <w:spacing w:after="0" w:line="240" w:lineRule="auto"/>
              <w:jc w:val="both"/>
              <w:rPr>
                <w:rFonts w:ascii="Aptos" w:eastAsia="DengXian" w:hAnsi="Aptos"/>
              </w:rPr>
            </w:pPr>
            <w:r>
              <w:rPr>
                <w:rFonts w:ascii="Times New Roman" w:eastAsia="DengXian" w:hAnsi="Times New Roman" w:cs="Times New Roman"/>
                <w:lang w:val="en-US"/>
              </w:rPr>
              <w:t>Mental health impacts of climate change on vulnerable populations</w:t>
            </w:r>
          </w:p>
          <w:p w14:paraId="73F580B5" w14:textId="39ADF9FB" w:rsidR="0010418A" w:rsidRDefault="00414679">
            <w:pPr>
              <w:pStyle w:val="ListParagraph"/>
              <w:numPr>
                <w:ilvl w:val="0"/>
                <w:numId w:val="1"/>
              </w:numPr>
              <w:spacing w:after="0" w:line="240" w:lineRule="auto"/>
              <w:jc w:val="both"/>
              <w:rPr>
                <w:rFonts w:ascii="Aptos" w:eastAsia="DengXian" w:hAnsi="Aptos"/>
              </w:rPr>
            </w:pPr>
            <w:r w:rsidRPr="00414679">
              <w:rPr>
                <w:rFonts w:ascii="Times New Roman" w:eastAsia="DengXian" w:hAnsi="Times New Roman" w:cs="Times New Roman"/>
                <w:lang w:val="en-US"/>
              </w:rPr>
              <w:t>Seda Tuğba Baykara</w:t>
            </w:r>
            <w:r>
              <w:rPr>
                <w:rFonts w:ascii="Times New Roman" w:eastAsia="DengXian" w:hAnsi="Times New Roman" w:cs="Times New Roman"/>
                <w:lang w:val="en-US"/>
              </w:rPr>
              <w:t xml:space="preserve"> Mat,</w:t>
            </w:r>
            <w:r w:rsidRPr="00414679">
              <w:rPr>
                <w:rFonts w:ascii="Times New Roman" w:eastAsia="DengXian" w:hAnsi="Times New Roman" w:cs="Times New Roman"/>
                <w:lang w:val="en-US"/>
              </w:rPr>
              <w:t xml:space="preserve"> </w:t>
            </w:r>
            <w:r>
              <w:rPr>
                <w:rFonts w:ascii="Times New Roman" w:eastAsia="DengXian" w:hAnsi="Times New Roman" w:cs="Times New Roman"/>
                <w:lang w:val="en-US"/>
              </w:rPr>
              <w:t xml:space="preserve">RN, </w:t>
            </w:r>
            <w:r w:rsidRPr="00414679">
              <w:rPr>
                <w:rFonts w:ascii="Times New Roman" w:eastAsia="DengXian" w:hAnsi="Times New Roman" w:cs="Times New Roman"/>
                <w:lang w:val="en-US"/>
              </w:rPr>
              <w:t>PhD</w:t>
            </w:r>
          </w:p>
        </w:tc>
      </w:tr>
      <w:tr w:rsidR="0010418A" w14:paraId="7F1BA9F6" w14:textId="77777777">
        <w:tc>
          <w:tcPr>
            <w:tcW w:w="1980" w:type="dxa"/>
          </w:tcPr>
          <w:p w14:paraId="347B9B8C" w14:textId="77777777" w:rsidR="0010418A" w:rsidRDefault="00000000">
            <w:pPr>
              <w:spacing w:after="0" w:line="240" w:lineRule="auto"/>
              <w:jc w:val="both"/>
              <w:rPr>
                <w:rFonts w:ascii="Aptos" w:eastAsia="DengXian" w:hAnsi="Aptos"/>
              </w:rPr>
            </w:pPr>
            <w:r>
              <w:rPr>
                <w:rFonts w:ascii="Times New Roman" w:eastAsia="DengXian" w:hAnsi="Times New Roman" w:cs="Times New Roman"/>
                <w:lang w:val="en-US"/>
              </w:rPr>
              <w:t>10.30 - 10.50</w:t>
            </w:r>
          </w:p>
        </w:tc>
        <w:tc>
          <w:tcPr>
            <w:tcW w:w="7082" w:type="dxa"/>
          </w:tcPr>
          <w:p w14:paraId="050B2354" w14:textId="77777777" w:rsidR="0010418A" w:rsidRDefault="00000000">
            <w:pPr>
              <w:spacing w:after="0" w:line="240" w:lineRule="auto"/>
              <w:jc w:val="both"/>
              <w:rPr>
                <w:rFonts w:ascii="Aptos" w:eastAsia="DengXian" w:hAnsi="Aptos"/>
              </w:rPr>
            </w:pPr>
            <w:r>
              <w:rPr>
                <w:rFonts w:ascii="Times New Roman" w:eastAsia="DengXian" w:hAnsi="Times New Roman" w:cs="Times New Roman"/>
                <w:lang w:val="en-US"/>
              </w:rPr>
              <w:t>Public health strategies designed to reduce climate-related mental health inequities and foster resilience</w:t>
            </w:r>
          </w:p>
          <w:p w14:paraId="1756FC59" w14:textId="77777777" w:rsidR="0010418A" w:rsidRDefault="00000000">
            <w:pPr>
              <w:pStyle w:val="ListParagraph"/>
              <w:numPr>
                <w:ilvl w:val="0"/>
                <w:numId w:val="1"/>
              </w:numPr>
              <w:spacing w:after="0" w:line="240" w:lineRule="auto"/>
              <w:jc w:val="both"/>
              <w:rPr>
                <w:rFonts w:ascii="Aptos" w:eastAsia="DengXian" w:hAnsi="Aptos"/>
              </w:rPr>
            </w:pPr>
            <w:r>
              <w:rPr>
                <w:rFonts w:ascii="Times New Roman" w:eastAsia="DengXian" w:hAnsi="Times New Roman" w:cs="Times New Roman"/>
                <w:lang w:val="en-US"/>
              </w:rPr>
              <w:t>Chiara Cadeddu, MD, PhD</w:t>
            </w:r>
          </w:p>
        </w:tc>
      </w:tr>
      <w:tr w:rsidR="0010418A" w14:paraId="03910710" w14:textId="77777777">
        <w:tc>
          <w:tcPr>
            <w:tcW w:w="1980" w:type="dxa"/>
          </w:tcPr>
          <w:p w14:paraId="63543515" w14:textId="77777777" w:rsidR="0010418A" w:rsidRDefault="00000000">
            <w:pPr>
              <w:spacing w:after="0" w:line="240" w:lineRule="auto"/>
              <w:jc w:val="both"/>
              <w:rPr>
                <w:rFonts w:ascii="Aptos" w:eastAsia="DengXian" w:hAnsi="Aptos"/>
              </w:rPr>
            </w:pPr>
            <w:r>
              <w:rPr>
                <w:rFonts w:ascii="Times New Roman" w:eastAsia="DengXian" w:hAnsi="Times New Roman" w:cs="Times New Roman"/>
                <w:lang w:val="en-US"/>
              </w:rPr>
              <w:t>10.50 - 10.55</w:t>
            </w:r>
          </w:p>
        </w:tc>
        <w:tc>
          <w:tcPr>
            <w:tcW w:w="7082" w:type="dxa"/>
          </w:tcPr>
          <w:p w14:paraId="30854411" w14:textId="77777777" w:rsidR="0010418A" w:rsidRDefault="00000000">
            <w:pPr>
              <w:spacing w:after="0" w:line="240" w:lineRule="auto"/>
              <w:jc w:val="both"/>
              <w:rPr>
                <w:rFonts w:ascii="Aptos" w:eastAsia="DengXian" w:hAnsi="Aptos"/>
              </w:rPr>
            </w:pPr>
            <w:r>
              <w:rPr>
                <w:rFonts w:ascii="Times New Roman" w:eastAsia="DengXian" w:hAnsi="Times New Roman" w:cs="Times New Roman"/>
                <w:lang w:val="en-US"/>
              </w:rPr>
              <w:t>Q&amp;A</w:t>
            </w:r>
          </w:p>
        </w:tc>
      </w:tr>
      <w:tr w:rsidR="0010418A" w14:paraId="00CD4F9D" w14:textId="77777777">
        <w:tc>
          <w:tcPr>
            <w:tcW w:w="1980" w:type="dxa"/>
          </w:tcPr>
          <w:p w14:paraId="6DC89DD8" w14:textId="77777777" w:rsidR="0010418A" w:rsidRDefault="00000000">
            <w:pPr>
              <w:spacing w:after="0" w:line="240" w:lineRule="auto"/>
              <w:jc w:val="both"/>
              <w:rPr>
                <w:rFonts w:ascii="Aptos" w:eastAsia="DengXian" w:hAnsi="Aptos"/>
              </w:rPr>
            </w:pPr>
            <w:r>
              <w:rPr>
                <w:rFonts w:ascii="Times New Roman" w:eastAsia="DengXian" w:hAnsi="Times New Roman" w:cs="Times New Roman"/>
                <w:lang w:val="en-US"/>
              </w:rPr>
              <w:t>10.55 - 11.00</w:t>
            </w:r>
          </w:p>
        </w:tc>
        <w:tc>
          <w:tcPr>
            <w:tcW w:w="7082" w:type="dxa"/>
          </w:tcPr>
          <w:p w14:paraId="445C47AD" w14:textId="77777777" w:rsidR="0010418A" w:rsidRDefault="00000000">
            <w:pPr>
              <w:spacing w:after="0" w:line="240" w:lineRule="auto"/>
              <w:jc w:val="both"/>
              <w:rPr>
                <w:rFonts w:ascii="Aptos" w:eastAsia="DengXian" w:hAnsi="Aptos"/>
              </w:rPr>
            </w:pPr>
            <w:r>
              <w:rPr>
                <w:rFonts w:ascii="Times New Roman" w:eastAsia="DengXian" w:hAnsi="Times New Roman" w:cs="Times New Roman"/>
                <w:lang w:val="en-US"/>
              </w:rPr>
              <w:t>Thank-you and closing</w:t>
            </w:r>
          </w:p>
          <w:p w14:paraId="23369A61" w14:textId="77777777" w:rsidR="0010418A" w:rsidRDefault="00000000">
            <w:pPr>
              <w:pStyle w:val="ListParagraph"/>
              <w:numPr>
                <w:ilvl w:val="0"/>
                <w:numId w:val="1"/>
              </w:numPr>
              <w:spacing w:after="0" w:line="240" w:lineRule="auto"/>
              <w:jc w:val="both"/>
              <w:rPr>
                <w:rFonts w:ascii="Aptos" w:eastAsia="DengXian" w:hAnsi="Aptos"/>
              </w:rPr>
            </w:pPr>
            <w:r>
              <w:rPr>
                <w:rFonts w:ascii="Times New Roman" w:eastAsia="DengXian" w:hAnsi="Times New Roman" w:cs="Times New Roman"/>
                <w:lang w:val="de-DE"/>
              </w:rPr>
              <w:t>Gizem Öztürk &amp; Mert Nedim Mercan</w:t>
            </w:r>
          </w:p>
        </w:tc>
      </w:tr>
    </w:tbl>
    <w:p w14:paraId="5F73DB60" w14:textId="77777777" w:rsidR="0010418A" w:rsidRDefault="0010418A">
      <w:pPr>
        <w:spacing w:line="276" w:lineRule="auto"/>
        <w:jc w:val="both"/>
        <w:rPr>
          <w:rFonts w:ascii="Times New Roman" w:hAnsi="Times New Roman" w:cs="Times New Roman"/>
          <w:b/>
          <w:bCs/>
          <w:lang w:val="de-DE"/>
        </w:rPr>
      </w:pPr>
    </w:p>
    <w:p w14:paraId="7AB3EB8E" w14:textId="77777777" w:rsidR="0010418A" w:rsidRDefault="00000000">
      <w:pPr>
        <w:jc w:val="both"/>
        <w:rPr>
          <w:rFonts w:ascii="Times New Roman" w:hAnsi="Times New Roman" w:cs="Times New Roman"/>
          <w:b/>
          <w:bCs/>
          <w:lang w:val="en-US"/>
        </w:rPr>
      </w:pPr>
      <w:r>
        <w:rPr>
          <w:rFonts w:ascii="Times New Roman" w:hAnsi="Times New Roman" w:cs="Times New Roman"/>
          <w:b/>
          <w:bCs/>
          <w:lang w:val="en-US"/>
        </w:rPr>
        <w:t>Vulnerability in Climate-Related Mental Health and Well-Being, and Public Health Strategies to Foster Resilience from an Intersectional Perspective</w:t>
      </w:r>
    </w:p>
    <w:p w14:paraId="6360B1A7" w14:textId="77777777" w:rsidR="0010418A" w:rsidRDefault="00000000">
      <w:pPr>
        <w:jc w:val="both"/>
        <w:rPr>
          <w:rFonts w:ascii="Times New Roman" w:hAnsi="Times New Roman" w:cs="Times New Roman"/>
          <w:lang w:val="en-US"/>
        </w:rPr>
      </w:pPr>
      <w:r>
        <w:rPr>
          <w:rFonts w:ascii="Times New Roman" w:hAnsi="Times New Roman" w:cs="Times New Roman"/>
          <w:lang w:val="en-US"/>
        </w:rPr>
        <w:t xml:space="preserve">This webinar addresses the critical overlap of climate change, mental health, and social equity through an intersectional lens (Co et al., 2013). Moving beyond general frameworks, the webinar will detail the issue on how intersecting identities, such as minority, immigration status and socioeconomic position, increase the vulnerability to climate-related psychological distress. Furthermore, it explores how intersectoral public health strategies can foster resilience and promote equitable access to health care and resources in disadvantaged societies. </w:t>
      </w:r>
    </w:p>
    <w:p w14:paraId="0F8C324E" w14:textId="77777777" w:rsidR="0010418A" w:rsidRDefault="00000000">
      <w:pPr>
        <w:jc w:val="both"/>
        <w:rPr>
          <w:rFonts w:ascii="Times New Roman" w:hAnsi="Times New Roman" w:cs="Times New Roman"/>
          <w:lang w:val="en-US"/>
        </w:rPr>
      </w:pPr>
      <w:r>
        <w:rPr>
          <w:rFonts w:ascii="Times New Roman" w:hAnsi="Times New Roman" w:cs="Times New Roman"/>
          <w:lang w:val="en-US"/>
        </w:rPr>
        <w:t xml:space="preserve">The first part examines the mental health impacts of climate change on vulnerable populations (Grover, Verduzco-Gutierrez, &amp; </w:t>
      </w:r>
      <w:proofErr w:type="spellStart"/>
      <w:r>
        <w:rPr>
          <w:rFonts w:ascii="Times New Roman" w:hAnsi="Times New Roman" w:cs="Times New Roman"/>
          <w:lang w:val="en-US"/>
        </w:rPr>
        <w:t>Annaswamy</w:t>
      </w:r>
      <w:proofErr w:type="spellEnd"/>
      <w:r>
        <w:rPr>
          <w:rFonts w:ascii="Times New Roman" w:hAnsi="Times New Roman" w:cs="Times New Roman"/>
          <w:lang w:val="en-US"/>
        </w:rPr>
        <w:t>, 2026; Stone, Blinn,  Spencer, 2022). Evidence indicates that climate-related disasters, environmental degradation, displacement, and climate uncertainty disproportionately affect marginalized groups, including women, migrants, children, and socioeconomically disadvantaged communities (International Organization for Migration, 2024; Romanello et al., 2024). Structural inequalities, such as poverty, discrimination, limited access to health services, and reduced social protection, interact with environmental exposure to produce compounded vulnerability and increased psychological distress. By applying an intersectional framework, this section demonstrates how overlapping risk factors intensify both exposure to climate hazards and the barriers to accessing mental health care and supportive resources.</w:t>
      </w:r>
    </w:p>
    <w:p w14:paraId="10729DA0" w14:textId="77777777" w:rsidR="0010418A" w:rsidRDefault="00000000">
      <w:pPr>
        <w:jc w:val="both"/>
        <w:rPr>
          <w:rFonts w:ascii="Times New Roman" w:hAnsi="Times New Roman" w:cs="Times New Roman"/>
          <w:lang w:val="en-US"/>
        </w:rPr>
      </w:pPr>
      <w:r>
        <w:rPr>
          <w:rFonts w:ascii="Times New Roman" w:hAnsi="Times New Roman" w:cs="Times New Roman"/>
          <w:lang w:val="en-US"/>
        </w:rPr>
        <w:t>The second part focuses on public health strategies designed to reduce these inequities. Discussion will center on how intersectoral collaboration across health systems, social services, and community organizations can strengthen mental health promotion. Particular emphasis will be placed on community-centered, equity-informed interventions that address the structural determinants of vulnerability  (Versey, 2021).</w:t>
      </w:r>
    </w:p>
    <w:p w14:paraId="1815BAF3" w14:textId="77777777" w:rsidR="0010418A" w:rsidRDefault="00000000">
      <w:pPr>
        <w:jc w:val="both"/>
        <w:rPr>
          <w:rFonts w:ascii="Times New Roman" w:hAnsi="Times New Roman" w:cs="Times New Roman"/>
          <w:lang w:val="en-US"/>
        </w:rPr>
      </w:pPr>
      <w:r>
        <w:rPr>
          <w:rFonts w:ascii="Times New Roman" w:hAnsi="Times New Roman" w:cs="Times New Roman"/>
          <w:lang w:val="en-US"/>
        </w:rPr>
        <w:t xml:space="preserve">By highlighting an intersectional approach, this webinar aims to guide practitioners, researchers and policymakers in developing more inclusive evidence-based mental health responses. </w:t>
      </w:r>
    </w:p>
    <w:p w14:paraId="14B1BC1F" w14:textId="77777777" w:rsidR="0010418A" w:rsidRDefault="00000000">
      <w:pPr>
        <w:jc w:val="both"/>
        <w:rPr>
          <w:rFonts w:ascii="Times New Roman" w:hAnsi="Times New Roman" w:cs="Times New Roman"/>
          <w:b/>
          <w:bCs/>
          <w:lang w:val="en-US"/>
        </w:rPr>
      </w:pPr>
      <w:r>
        <w:rPr>
          <w:rFonts w:ascii="Times New Roman" w:hAnsi="Times New Roman" w:cs="Times New Roman"/>
          <w:b/>
          <w:bCs/>
          <w:lang w:val="en-US"/>
        </w:rPr>
        <w:t>References</w:t>
      </w:r>
    </w:p>
    <w:p w14:paraId="018A9B73" w14:textId="77777777" w:rsidR="0010418A" w:rsidRDefault="00000000">
      <w:pPr>
        <w:jc w:val="both"/>
        <w:rPr>
          <w:rFonts w:ascii="Times New Roman" w:hAnsi="Times New Roman" w:cs="Times New Roman"/>
          <w:lang w:val="en-US"/>
        </w:rPr>
      </w:pPr>
      <w:r>
        <w:rPr>
          <w:rFonts w:ascii="Times New Roman" w:hAnsi="Times New Roman" w:cs="Times New Roman"/>
          <w:lang w:val="en-US"/>
        </w:rPr>
        <w:t xml:space="preserve">Cho, S., Crenshaw, K. W., &amp; McCall, L. (2013). Toward a field of intersectionality studies: Theory, applications, and praxis. Signs: Journal of women in culture and society, 38(4), 785-810. </w:t>
      </w:r>
    </w:p>
    <w:p w14:paraId="3D7A485E" w14:textId="77777777" w:rsidR="0010418A" w:rsidRDefault="00000000">
      <w:pPr>
        <w:jc w:val="both"/>
        <w:rPr>
          <w:rFonts w:ascii="Times New Roman" w:hAnsi="Times New Roman" w:cs="Times New Roman"/>
          <w:lang w:val="en-US"/>
        </w:rPr>
      </w:pPr>
      <w:r>
        <w:rPr>
          <w:rFonts w:ascii="Times New Roman" w:hAnsi="Times New Roman" w:cs="Times New Roman"/>
          <w:lang w:val="en-US"/>
        </w:rPr>
        <w:t xml:space="preserve">Grover, P., Verduzco-Gutierrez, M., &amp; </w:t>
      </w:r>
      <w:proofErr w:type="spellStart"/>
      <w:r>
        <w:rPr>
          <w:rFonts w:ascii="Times New Roman" w:hAnsi="Times New Roman" w:cs="Times New Roman"/>
          <w:lang w:val="en-US"/>
        </w:rPr>
        <w:t>Annaswamy</w:t>
      </w:r>
      <w:proofErr w:type="spellEnd"/>
      <w:r>
        <w:rPr>
          <w:rFonts w:ascii="Times New Roman" w:hAnsi="Times New Roman" w:cs="Times New Roman"/>
          <w:lang w:val="en-US"/>
        </w:rPr>
        <w:t>, T. (2026). A socioecological approach to understanding and positively affecting the intersectionality between disability, race and ethnicity, climate change, and rehabilitation outcomes: A scoping review. PM &amp; R : the journal of injury, function, and rehabilitation, 18 Suppl 1(Suppl 1), S35–S44. https://doi.org/10.1002/pmrj.13401</w:t>
      </w:r>
    </w:p>
    <w:p w14:paraId="173723D5" w14:textId="77777777" w:rsidR="0010418A" w:rsidRDefault="00000000">
      <w:pPr>
        <w:jc w:val="both"/>
        <w:rPr>
          <w:rFonts w:ascii="Times New Roman" w:hAnsi="Times New Roman" w:cs="Times New Roman"/>
          <w:lang w:val="en-US"/>
        </w:rPr>
      </w:pPr>
      <w:r>
        <w:rPr>
          <w:rFonts w:ascii="Times New Roman" w:hAnsi="Times New Roman" w:cs="Times New Roman"/>
          <w:lang w:val="en-US"/>
        </w:rPr>
        <w:t>International Organization for Migration. (2024). World Migration Report 2024.</w:t>
      </w:r>
    </w:p>
    <w:p w14:paraId="39664D9D" w14:textId="77777777" w:rsidR="0010418A" w:rsidRDefault="00000000">
      <w:pPr>
        <w:jc w:val="both"/>
        <w:rPr>
          <w:rFonts w:ascii="Times New Roman" w:hAnsi="Times New Roman" w:cs="Times New Roman"/>
          <w:lang w:val="en-US"/>
        </w:rPr>
      </w:pPr>
      <w:r>
        <w:rPr>
          <w:rFonts w:ascii="Times New Roman" w:hAnsi="Times New Roman" w:cs="Times New Roman"/>
          <w:lang w:val="en-US"/>
        </w:rPr>
        <w:lastRenderedPageBreak/>
        <w:t xml:space="preserve">Romanello, M., Walawender, M., Hsu, S. C., </w:t>
      </w:r>
      <w:proofErr w:type="spellStart"/>
      <w:r>
        <w:rPr>
          <w:rFonts w:ascii="Times New Roman" w:hAnsi="Times New Roman" w:cs="Times New Roman"/>
          <w:lang w:val="en-US"/>
        </w:rPr>
        <w:t>Moskeland</w:t>
      </w:r>
      <w:proofErr w:type="spellEnd"/>
      <w:r>
        <w:rPr>
          <w:rFonts w:ascii="Times New Roman" w:hAnsi="Times New Roman" w:cs="Times New Roman"/>
          <w:lang w:val="en-US"/>
        </w:rPr>
        <w:t xml:space="preserve">, A., Palmeiro-Silva, Y., Scamman, D., Ali, Z., Ameli, N., Angelova, D., </w:t>
      </w:r>
      <w:proofErr w:type="spellStart"/>
      <w:r>
        <w:rPr>
          <w:rFonts w:ascii="Times New Roman" w:hAnsi="Times New Roman" w:cs="Times New Roman"/>
          <w:lang w:val="en-US"/>
        </w:rPr>
        <w:t>Ayeb</w:t>
      </w:r>
      <w:proofErr w:type="spellEnd"/>
      <w:r>
        <w:rPr>
          <w:rFonts w:ascii="Times New Roman" w:hAnsi="Times New Roman" w:cs="Times New Roman"/>
          <w:lang w:val="en-US"/>
        </w:rPr>
        <w:t xml:space="preserve">-Karlsson, S., Basart, S., Beagley, J., Beggs, P. J., Blanco-Villafuerte, L., Cai, W., Callaghan, M., Campbell-Lendrum, D., Chambers, J. D., </w:t>
      </w:r>
      <w:proofErr w:type="spellStart"/>
      <w:r>
        <w:rPr>
          <w:rFonts w:ascii="Times New Roman" w:hAnsi="Times New Roman" w:cs="Times New Roman"/>
          <w:lang w:val="en-US"/>
        </w:rPr>
        <w:t>Chicmana</w:t>
      </w:r>
      <w:proofErr w:type="spellEnd"/>
      <w:r>
        <w:rPr>
          <w:rFonts w:ascii="Times New Roman" w:hAnsi="Times New Roman" w:cs="Times New Roman"/>
          <w:lang w:val="en-US"/>
        </w:rPr>
        <w:t>-Zapata, V., Chu, L., … Costello, A. (2024). The 2024 report of the Lancet Countdown on health and climate change: facing record-breaking threats from delayed action. Lancet (London, England), 404(10465), 1847–1896. https://doi.org/10.1016/S0140-6736(24)01822-1</w:t>
      </w:r>
    </w:p>
    <w:p w14:paraId="24BC5275" w14:textId="77777777" w:rsidR="0010418A" w:rsidRDefault="00000000">
      <w:pPr>
        <w:jc w:val="both"/>
        <w:rPr>
          <w:rFonts w:ascii="Times New Roman" w:hAnsi="Times New Roman" w:cs="Times New Roman"/>
          <w:lang w:val="en-US"/>
        </w:rPr>
      </w:pPr>
      <w:r>
        <w:rPr>
          <w:rFonts w:ascii="Times New Roman" w:hAnsi="Times New Roman" w:cs="Times New Roman"/>
          <w:lang w:val="en-US"/>
        </w:rPr>
        <w:t>Stone, K., Blinn, N., &amp; Spencer, R. (2022). Mental Health Impacts of Climate Change on Women: a Scoping Review. Current environmental health reports, 9(2), 228–243. https://doi.org/10.1007/s40572-022-00346-8</w:t>
      </w:r>
    </w:p>
    <w:p w14:paraId="67B424D9" w14:textId="77777777" w:rsidR="0010418A" w:rsidRDefault="00000000">
      <w:pPr>
        <w:jc w:val="both"/>
        <w:rPr>
          <w:rFonts w:ascii="Times New Roman" w:hAnsi="Times New Roman" w:cs="Times New Roman"/>
          <w:lang w:val="en-US"/>
        </w:rPr>
      </w:pPr>
      <w:r>
        <w:rPr>
          <w:rFonts w:ascii="Times New Roman" w:hAnsi="Times New Roman" w:cs="Times New Roman"/>
          <w:lang w:val="en-US"/>
        </w:rPr>
        <w:t>Versey, H. S. (2021). Missing pieces in the discussion on climate change and risk: Intersectionality and compounded vulnerability. Policy Insights from the Behavioral and Brain Sciences, 8(1), 67-75.</w:t>
      </w:r>
    </w:p>
    <w:p w14:paraId="04F68A94" w14:textId="77777777" w:rsidR="0010418A" w:rsidRDefault="00000000">
      <w:pPr>
        <w:jc w:val="both"/>
        <w:rPr>
          <w:rFonts w:ascii="Times New Roman" w:hAnsi="Times New Roman" w:cs="Times New Roman"/>
          <w:lang w:val="en-US"/>
        </w:rPr>
      </w:pPr>
      <w:r>
        <w:rPr>
          <w:rFonts w:ascii="Times New Roman" w:hAnsi="Times New Roman" w:cs="Times New Roman"/>
          <w:lang w:val="en-US"/>
        </w:rPr>
        <w:t>Xu, L., Adepoju, O. E., Tipton, M. E., &amp; Rifai, H. (2025). Intersecting risks: A longitudinal analysis of climate exposure, social vulnerability, and mental health in the Texas Gulf Coast. Frontiers in public health, 13, 1701671. https://doi.org/10.3389/fpubh.2025.1701671</w:t>
      </w:r>
    </w:p>
    <w:sectPr w:rsidR="0010418A">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6E92F" w14:textId="77777777" w:rsidR="008B6CDD" w:rsidRDefault="008B6CDD" w:rsidP="00414679">
      <w:pPr>
        <w:spacing w:after="0" w:line="240" w:lineRule="auto"/>
      </w:pPr>
      <w:r>
        <w:separator/>
      </w:r>
    </w:p>
  </w:endnote>
  <w:endnote w:type="continuationSeparator" w:id="0">
    <w:p w14:paraId="63128DE3" w14:textId="77777777" w:rsidR="008B6CDD" w:rsidRDefault="008B6CDD" w:rsidP="00414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imHei">
    <w:panose1 w:val="02010600030101010101"/>
    <w:charset w:val="86"/>
    <w:family w:val="modern"/>
    <w:pitch w:val="fixed"/>
    <w:sig w:usb0="800002BF" w:usb1="38CF7CFA" w:usb2="00000016" w:usb3="00000000" w:csb0="00040001"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7CC4A" w14:textId="77777777" w:rsidR="008B6CDD" w:rsidRDefault="008B6CDD" w:rsidP="00414679">
      <w:pPr>
        <w:spacing w:after="0" w:line="240" w:lineRule="auto"/>
      </w:pPr>
      <w:r>
        <w:separator/>
      </w:r>
    </w:p>
  </w:footnote>
  <w:footnote w:type="continuationSeparator" w:id="0">
    <w:p w14:paraId="1519A04D" w14:textId="77777777" w:rsidR="008B6CDD" w:rsidRDefault="008B6CDD" w:rsidP="00414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0B50"/>
    <w:multiLevelType w:val="multilevel"/>
    <w:tmpl w:val="709C97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0A31EE"/>
    <w:multiLevelType w:val="multilevel"/>
    <w:tmpl w:val="F13C1D7E"/>
    <w:lvl w:ilvl="0">
      <w:start w:val="1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55457785">
    <w:abstractNumId w:val="1"/>
  </w:num>
  <w:num w:numId="2" w16cid:durableId="1034044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8A"/>
    <w:rsid w:val="00086120"/>
    <w:rsid w:val="0010418A"/>
    <w:rsid w:val="002C1921"/>
    <w:rsid w:val="003D56E0"/>
    <w:rsid w:val="00414679"/>
    <w:rsid w:val="006851BA"/>
    <w:rsid w:val="007863CE"/>
    <w:rsid w:val="007F494D"/>
    <w:rsid w:val="00834554"/>
    <w:rsid w:val="008B6CDD"/>
  </w:rsids>
  <m:mathPr>
    <m:mathFont m:val="Cambria Math"/>
    <m:brkBin m:val="before"/>
    <m:brkBinSub m:val="--"/>
    <m:smallFrac m:val="0"/>
    <m:dispDef/>
    <m:lMargin m:val="0"/>
    <m:rMargin m:val="0"/>
    <m:defJc m:val="centerGroup"/>
    <m:wrapIndent m:val="1440"/>
    <m:intLim m:val="subSup"/>
    <m:naryLim m:val="undOvr"/>
  </m:mathPr>
  <w:themeFontLang w:val="tr-TR"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48307"/>
  <w15:docId w15:val="{0AD5B0AF-476D-4624-9EAC-4E679DD8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767"/>
    <w:pPr>
      <w:spacing w:after="160" w:line="278" w:lineRule="auto"/>
    </w:pPr>
  </w:style>
  <w:style w:type="paragraph" w:styleId="Heading1">
    <w:name w:val="heading 1"/>
    <w:basedOn w:val="Normal"/>
    <w:next w:val="Normal"/>
    <w:link w:val="Heading1Char"/>
    <w:uiPriority w:val="9"/>
    <w:qFormat/>
    <w:rsid w:val="00BE5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E5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BE5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BE5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BE5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BE5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BE5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BE5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BE5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BE582D"/>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BE582D"/>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BE582D"/>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BE582D"/>
    <w:rPr>
      <w:i/>
      <w:iCs/>
      <w:color w:val="404040" w:themeColor="text1" w:themeTint="BF"/>
    </w:rPr>
  </w:style>
  <w:style w:type="character" w:styleId="IntenseEmphasis">
    <w:name w:val="Intense Emphasis"/>
    <w:basedOn w:val="DefaultParagraphFont"/>
    <w:uiPriority w:val="21"/>
    <w:qFormat/>
    <w:rsid w:val="00BE582D"/>
    <w:rPr>
      <w:i/>
      <w:iCs/>
      <w:color w:val="0F4761" w:themeColor="accent1" w:themeShade="BF"/>
    </w:rPr>
  </w:style>
  <w:style w:type="character" w:customStyle="1" w:styleId="IntenseQuoteChar">
    <w:name w:val="Intense Quote Char"/>
    <w:basedOn w:val="DefaultParagraphFont"/>
    <w:link w:val="IntenseQuote"/>
    <w:uiPriority w:val="30"/>
    <w:qFormat/>
    <w:rsid w:val="00BE582D"/>
    <w:rPr>
      <w:i/>
      <w:iCs/>
      <w:color w:val="0F4761" w:themeColor="accent1" w:themeShade="BF"/>
    </w:rPr>
  </w:style>
  <w:style w:type="character" w:styleId="IntenseReference">
    <w:name w:val="Intense Reference"/>
    <w:basedOn w:val="DefaultParagraphFont"/>
    <w:uiPriority w:val="32"/>
    <w:qFormat/>
    <w:rsid w:val="00BE582D"/>
    <w:rPr>
      <w:b/>
      <w:bCs/>
      <w:smallCaps/>
      <w:color w:val="0F4761" w:themeColor="accent1" w:themeShade="BF"/>
      <w:spacing w:val="5"/>
    </w:rPr>
  </w:style>
  <w:style w:type="character" w:styleId="Hyperlink">
    <w:name w:val="Hyperlink"/>
    <w:basedOn w:val="DefaultParagraphFont"/>
    <w:uiPriority w:val="99"/>
    <w:unhideWhenUsed/>
    <w:rsid w:val="00305767"/>
    <w:rPr>
      <w:color w:val="467886" w:themeColor="hyperlink"/>
      <w:u w:val="single"/>
    </w:rPr>
  </w:style>
  <w:style w:type="character" w:styleId="UnresolvedMention">
    <w:name w:val="Unresolved Mention"/>
    <w:basedOn w:val="DefaultParagraphFont"/>
    <w:uiPriority w:val="99"/>
    <w:semiHidden/>
    <w:unhideWhenUsed/>
    <w:qFormat/>
    <w:rsid w:val="00305767"/>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rPr>
  </w:style>
  <w:style w:type="paragraph" w:customStyle="1" w:styleId="Index">
    <w:name w:val="Index"/>
    <w:basedOn w:val="Normal"/>
    <w:qFormat/>
    <w:pPr>
      <w:suppressLineNumbers/>
    </w:pPr>
    <w:rPr>
      <w:rFonts w:cs="Noto Sans"/>
    </w:rPr>
  </w:style>
  <w:style w:type="paragraph" w:styleId="Title">
    <w:name w:val="Title"/>
    <w:basedOn w:val="Normal"/>
    <w:next w:val="Normal"/>
    <w:link w:val="TitleChar"/>
    <w:uiPriority w:val="10"/>
    <w:qFormat/>
    <w:rsid w:val="00BE582D"/>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E5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82D"/>
    <w:pPr>
      <w:spacing w:before="160"/>
      <w:jc w:val="center"/>
    </w:pPr>
    <w:rPr>
      <w:i/>
      <w:iCs/>
      <w:color w:val="404040" w:themeColor="text1" w:themeTint="BF"/>
    </w:rPr>
  </w:style>
  <w:style w:type="paragraph" w:styleId="ListParagraph">
    <w:name w:val="List Paragraph"/>
    <w:basedOn w:val="Normal"/>
    <w:uiPriority w:val="34"/>
    <w:qFormat/>
    <w:rsid w:val="00BE582D"/>
    <w:pPr>
      <w:ind w:left="720"/>
      <w:contextualSpacing/>
    </w:pPr>
  </w:style>
  <w:style w:type="paragraph" w:styleId="IntenseQuote">
    <w:name w:val="Intense Quote"/>
    <w:basedOn w:val="Normal"/>
    <w:next w:val="Normal"/>
    <w:link w:val="IntenseQuoteChar"/>
    <w:uiPriority w:val="30"/>
    <w:qFormat/>
    <w:rsid w:val="00BE5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777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46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4679"/>
  </w:style>
  <w:style w:type="paragraph" w:styleId="Footer">
    <w:name w:val="footer"/>
    <w:basedOn w:val="Normal"/>
    <w:link w:val="FooterChar"/>
    <w:uiPriority w:val="99"/>
    <w:unhideWhenUsed/>
    <w:rsid w:val="004146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4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ms.microsoft.com/meet/313806533473993?p=oNQM681kF7xInbVF4E" TargetMode="External"/><Relationship Id="rId5" Type="http://schemas.openxmlformats.org/officeDocument/2006/relationships/footnotes" Target="footnotes.xml"/><Relationship Id="rId10" Type="http://schemas.openxmlformats.org/officeDocument/2006/relationships/hyperlink" Target="https://cost-climent.eu/" TargetMode="External"/><Relationship Id="rId4" Type="http://schemas.openxmlformats.org/officeDocument/2006/relationships/webSettings" Target="webSettings.xml"/><Relationship Id="rId9" Type="http://schemas.openxmlformats.org/officeDocument/2006/relationships/hyperlink" Target="https://www.wfpha.org/global-public-health-week/" TargetMode="External"/></Relationships>
</file>

<file path=word/theme/theme1.xml><?xml version="1.0" encoding="utf-8"?>
<a:theme xmlns:a="http://schemas.openxmlformats.org/drawingml/2006/main" name="Office Teması">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5766</Characters>
  <Application>Microsoft Office Word</Application>
  <DocSecurity>0</DocSecurity>
  <Lines>102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Öztürk</dc:creator>
  <dc:description/>
  <cp:lastModifiedBy>Gizem Öztürk</cp:lastModifiedBy>
  <cp:revision>10</cp:revision>
  <dcterms:created xsi:type="dcterms:W3CDTF">2026-03-23T17:10:00Z</dcterms:created>
  <dcterms:modified xsi:type="dcterms:W3CDTF">2026-03-30T11:44:00Z</dcterms:modified>
  <dc:language>en-US</dc:language>
</cp:coreProperties>
</file>